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Mitübertragen an den Erwerber werden auch alle sonstigen Grundstücke des Veräußerers, die wirtschaftlich zum übertragenen landwirtschaftlichen Betrieb gehören, auch wenn diese vorstehend nicht aufgeführt sind. Dies gilt auch für Miteigentumsanteile an solchen Grundstücken.</w:t>
      </w:r>
    </w:p>
    <w:p>
      <w:pPr>
        <w:pStyle w:val="Textabsatz"/>
      </w:pPr>
      <w:r>
        <w:t xml:space="preserve">Der Veräußerer bevollmächtigt den Erwerber, diese Grundstücke und Miteigentumsanteile in grundbuchmäßiger Form zu bezeichnen und an sich aufzulassen sowie alle Erklärungen abzugeben und entgegenzunehmen, die zur Übertragung des Eigentums an diesen Grundstücken und Miteigentumsanteilen auf den Erwerber erforderlich sind. Der Bevollmächtigte ist von den Beschränkungen des § 181 BGB befreit. Die Vollmacht erlischt nicht mit dem Tode des Veräußerers.</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