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Veräußerer ist Eigentümer des landwirtschaftlichen Betriebes „Gut Hohenstein“ in B. Bei dem Betrieb handelt es sich nicht um einen Hof im Sinne der HöfeO.</w:t>
      </w:r>
    </w:p>
    <w:p>
      <w:pPr>
        <w:pStyle w:val="ListeManuell1Ebene"/>
      </w:pPr>
      <w:r>
        <w:t xml:space="preserve">2.	Zum Betrieb gehört folgender Grundbesitz:</w:t>
      </w:r>
    </w:p>
    <w:p>
      <w:pPr>
        <w:pStyle w:val="ListeEinzug1Ebene"/>
      </w:pPr>
      <w:r>
        <w:t xml:space="preserve">(Es folgt die Auflistung und grundbuchmäßige Bezeichnung des gesamten zum Betrieb gehörenden Grundbesitzes).</w:t>
      </w:r>
    </w:p>
    <w:p>
      <w:pPr>
        <w:pStyle w:val="ListeManuell1Ebene"/>
      </w:pPr>
      <w:r>
        <w:t xml:space="preserve">3.	Der Grundbesitz ist im Grundbuch wie folgt belastet:</w:t>
      </w:r>
    </w:p>
    <w:p>
      <w:pPr>
        <w:pStyle w:val="ListeEinzug1Ebene"/>
      </w:pPr>
      <w:r>
        <w:t xml:space="preserve">(Es folgt das Verzeichnis der im Grundbuch eingetragenen Belastungen)</w:t>
      </w:r>
    </w:p>
    <w:p>
      <w:pPr>
        <w:pStyle w:val="ListeManuell1Ebene"/>
      </w:pPr>
      <w:r>
        <w:t xml:space="preserve">4.	Der Veräußerer überträgt dem Erwerber den gesamten in Ziff. 2) näher bezeichneten Grundbesitz nebst allen wesentlichen Bestandteilen, insbesondere allen Gebäuden und baulichen Anlagen, allen zugehörigen Rechten und dem gesamtem Zubehör, soweit nachstehend nicht von der Übertragung ausgenommen.</w:t>
      </w:r>
    </w:p>
    <w:p>
      <w:pPr>
        <w:pStyle w:val="ListeEinzug1Ebene"/>
      </w:pPr>
      <w:r>
        <w:t xml:space="preserve">Übertragen an den Erwerber werden auch alle sonstigen Aktiva und Passiva des landwirtschaftlichen Betriebes, soweit sie nicht im Folgenden von einer Übertragung ausdrücklich ausgenommen sind.</w:t>
      </w:r>
    </w:p>
    <w:p>
      <w:pPr>
        <w:pStyle w:val="ListeManuell1Ebene"/>
      </w:pPr>
      <w:r>
        <w:t xml:space="preserve">5.	Mitübertragen an den Erwerber werden insbesondere:</w:t>
      </w:r>
    </w:p>
    <w:p>
      <w:pPr>
        <w:pStyle w:val="ListeManuell2Ebene"/>
      </w:pPr>
      <w:r>
        <w:t xml:space="preserve">a)	das gesamte lebende und tote landwirtschaftliche Inventar, soweit nachstehend nichts anderes vereinbart ist;</w:t>
      </w:r>
    </w:p>
    <w:p>
      <w:pPr>
        <w:pStyle w:val="ListeManuell2Ebene"/>
      </w:pPr>
      <w:r>
        <w:t xml:space="preserve">b)	die aufstehende Saat und alle landwirtschaftlichen Vorräte,</w:t>
      </w:r>
    </w:p>
    <w:p>
      <w:pPr>
        <w:pStyle w:val="ListeManuell2Ebene"/>
      </w:pPr>
      <w:r>
        <w:t xml:space="preserve">c)	das bei der Sparkasse D. geführte betriebliche Konto mit der IBAN </w:t>
      </w:r>
      <w:bookmarkStart w:name="Graufeld5" w:id="0"/>
      <w:r>
        <w:fldChar w:fldCharType="begin"/>
      </w:r>
      <w:r>
        <w:instrText xml:space="preserve"> FORMTEXT </w:instrText>
      </w:r>
      <w:r>
        <w:fldChar w:fldCharType="separate"/>
      </w:r>
      <w:r>
        <w:t xml:space="preserve">     </w:t>
      </w:r>
      <w:r>
        <w:fldChar w:fldCharType="end"/>
      </w:r>
      <w:bookmarkEnd w:id="0"/>
      <w:r>
        <w:t xml:space="preserve"> nebst allen mit diesem Konto verbundenen Rechten und Ansprüchen;</w:t>
      </w:r>
    </w:p>
    <w:p>
      <w:pPr>
        <w:pStyle w:val="ListeManuell2Ebene"/>
      </w:pPr>
      <w:r>
        <w:t xml:space="preserve">d)	das bei der Sparkasse D. geführte Sparbuch mit der Nr. </w:t>
      </w:r>
      <w:bookmarkStart w:name="Graufeld6" w:id="1"/>
      <w:r>
        <w:fldChar w:fldCharType="begin"/>
      </w:r>
      <w:r>
        <w:instrText xml:space="preserve"> FORMTEXT </w:instrText>
      </w:r>
      <w:r>
        <w:fldChar w:fldCharType="separate"/>
      </w:r>
      <w:r>
        <w:t xml:space="preserve">     </w:t>
      </w:r>
      <w:r>
        <w:fldChar w:fldCharType="end"/>
      </w:r>
      <w:bookmarkEnd w:id="1"/>
      <w:r>
        <w:t xml:space="preserve">. Das auf diesem Sparbuch befindliche Guthaben hat der Veräußerer für betriebliche Instandsetzungs- und Investitionsmaßnahmen angespart. Der Anspruch auf Auszahlung des Guthabens nebst etwa hierauf noch gutzuschreibender Zinsen wird an den Erwerber abgetreten;</w:t>
      </w:r>
    </w:p>
    <w:p>
      <w:pPr>
        <w:pStyle w:val="ListeManuell2Ebene"/>
      </w:pPr>
      <w:r>
        <w:t xml:space="preserve">e)	sämtliche Anteile des Veräußerers an der Genossenschaft „Volksbank B. eG“;</w:t>
      </w:r>
    </w:p>
    <w:p>
      <w:pPr>
        <w:pStyle w:val="ListeManuell2Ebene"/>
      </w:pPr>
      <w:r>
        <w:t xml:space="preserve">f)	sämtliche Anteile des Veräußerers an der Molkerei-Genossenschaft „D.-Milch eG;</w:t>
      </w:r>
    </w:p>
    <w:p>
      <w:pPr>
        <w:pStyle w:val="ListeManuell2Ebene"/>
      </w:pPr>
      <w:r>
        <w:t xml:space="preserve">g)	die Beteiligung des Veräußerers an der Gesellschaft bürgerlichen Rechts mit der Bezeichnung „Landwirtschaftlicher Maschinenring D. GbR“;</w:t>
      </w:r>
    </w:p>
    <w:p>
      <w:pPr>
        <w:pStyle w:val="ListeManuell2Ebene"/>
      </w:pPr>
      <w:r>
        <w:t xml:space="preserve">h)	alle Ansprüche des Veräußerers auf landwirtschaftliche Beihilfen und Agrarförderung, insbesondere sämtliche Zahlungsansprüche, Prämien- und Ausgleichsansprüche im Rahmen der Gemeinsamen Agrarpolitik (GAO) der Europäischen Union.</w:t>
      </w:r>
    </w:p>
    <w:p>
      <w:pPr>
        <w:pStyle w:val="ListeManuell1Ebene"/>
      </w:pPr>
      <w:r>
        <w:t xml:space="preserve">6.	Der Veräußerer überträgt dem Erwerber auch alle weiteren zum landwirtschaftlichen Betrieb des Veräußerers gehörenden und in seinem Eigentum befindenden Grundstücke und Miteigentumsanteile an Grundstücken, auch wenn diese vorstehend nicht gesondert aufgeführt sein sollten. Der Veräußerer bevollmächtigt den Erwerber, diese Grundstücke und Miteigentumsanteile in grundbuchmäßiger Form zu bezeichnen und an sich aufzulassen sowie alle Erklärungen abzugeben und entgegenzunehmen, die zur Übertragung des Eigentums an diesen Grundstücken und Miteigentumsanteilen auf den Erwerber erforderlich sind. Der Bevollmächtigte ist von den Beschränkungen des § 181 BGB befreit. Die Vollmacht erlischt nicht mit dem Tode des Veräußerers.</w:t>
      </w:r>
    </w:p>
    <w:p>
      <w:pPr>
        <w:pStyle w:val="ListeManuell1Ebene"/>
      </w:pPr>
      <w:r>
        <w:t xml:space="preserve">7.	An den Erwerber ausdrücklich nicht mitübertragen werden:</w:t>
      </w:r>
    </w:p>
    <w:p>
      <w:pPr>
        <w:pStyle w:val="ListeManuell2Ebene"/>
      </w:pPr>
      <w:r>
        <w:t xml:space="preserve">a)	der Pkw der Marke VW- Passat mit dem amtlichen Kennzeichen </w:t>
      </w:r>
      <w:bookmarkStart w:name="Graufeld7" w:id="2"/>
      <w:r>
        <w:fldChar w:fldCharType="begin"/>
      </w:r>
      <w:r>
        <w:instrText xml:space="preserve"> FORMTEXT </w:instrText>
      </w:r>
      <w:r>
        <w:fldChar w:fldCharType="separate"/>
      </w:r>
      <w:r>
        <w:t xml:space="preserve">     </w:t>
      </w:r>
      <w:r>
        <w:fldChar w:fldCharType="end"/>
      </w:r>
      <w:bookmarkEnd w:id="2"/>
      <w:r>
        <w:t xml:space="preserve">;</w:t>
      </w:r>
    </w:p>
    <w:p>
      <w:pPr>
        <w:pStyle w:val="ListeManuell2Ebene"/>
      </w:pPr>
      <w:r>
        <w:t xml:space="preserve">b)	der Rasenmäher-Traktor der Marke John Deere,</w:t>
      </w:r>
    </w:p>
    <w:p>
      <w:pPr>
        <w:pStyle w:val="ListeManuell2Ebene"/>
      </w:pPr>
      <w:r>
        <w:t xml:space="preserve">c)	der Oldtimer-Traktor des Fabrikats Hanomag Perfekt 300, Baujahr 1963,</w:t>
      </w:r>
    </w:p>
    <w:p>
      <w:pPr>
        <w:pStyle w:val="ListeManuell2Ebene"/>
      </w:pPr>
      <w:r>
        <w:t xml:space="preserve">d)	die gesamte Wohnungseinrichtung und sämtliche Gegenstände des Hausrats, die sich in der vom Veräußerer und seiner Ehefrau bewohnten Erdgeschosswohnung der Hofstelle befinden.</w:t>
      </w:r>
    </w:p>
    <w:p>
      <w:pPr>
        <w:pStyle w:val="ListeManuell1Ebene"/>
      </w:pPr>
      <w:r>
        <w:t xml:space="preserve">8.	Der Erwerber nimmt die vorstehenden Übertragungen an.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