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An das Amtsgericht – Landwirtschaftsgericht –</w:t>
      </w:r>
    </w:p>
    <w:p>
      <w:pPr>
        <w:pStyle w:val="Textabsatz"/>
      </w:pPr>
      <w:r>
        <w:t xml:space="preserve">in B</w:t>
      </w:r>
    </w:p>
    <w:p>
      <w:pPr>
        <w:pStyle w:val="Textabsatz"/>
      </w:pPr>
      <w:r>
        <w:t xml:space="preserve">Ich bin Alleineigentümer einer landwirtschaftlichen Besitzung mit der Hofstelle in B. Die Besitzung ist eingetragen im Grundbuch von B. Blatt 320. Ihr Grundsteuerwert beträgt 65.000 EUR. Ein Hofvermerk ist im Grundbuch nicht eingetragen.</w:t>
      </w:r>
    </w:p>
    <w:p>
      <w:pPr>
        <w:pStyle w:val="Textabsatz"/>
      </w:pPr>
      <w:r>
        <w:t xml:space="preserve">Da die landwirtschaftliche Besitzung die Voraussetzungen des § 1 Abs. 1 S. 1 HöfeO erfüllt, ist sie trotz fehlenden Hofvermerks ein Hof im Sinne der HöfeO.</w:t>
      </w:r>
    </w:p>
    <w:p>
      <w:pPr>
        <w:pStyle w:val="Textabsatz"/>
      </w:pPr>
      <w:r>
        <w:t xml:space="preserve">Ich gebe hiermit die Erklärung ab, dass meine vorgenannte Besitzung nicht mehr Hof im Sinne der HöfeO sein soll.</w:t>
      </w:r>
    </w:p>
    <w:p>
      <w:pPr>
        <w:pStyle w:val="Textabsatz"/>
      </w:pPr>
      <w:r>
        <w:t xml:space="preserve">Ich beantrage, das Erlöschen der Hofeigenschaft im Grundbuch einzutragen. Der Umstand, dass die Hofeigenschaft nicht im Grundbuch eingetragen ist, steht der Verlautbarung ihres Erlöschens im Grundbuch nicht entgegen (siehe Entscheidung des OLG Köln RNotZ 2009, 323).</w:t>
      </w:r>
    </w:p>
    <w:p>
      <w:pPr>
        <w:pStyle w:val="Textabsatz"/>
      </w:pPr>
      <w:r>
        <w:t xml:space="preserve">Mir ist bekannt, dass infolge der Hofaufhebungserklärung meine landwirtschaftliche Besitzung ihre Eigenschaft als Hof im Sinne der HöfeO verliert, und zwar rückwirkend mit dem Eingang der Hofaufhebungserklärung beim Landwirtschaftsgericht.</w:t>
      </w:r>
    </w:p>
    <w:p>
      <w:pPr>
        <w:pStyle w:val="Textabsatz"/>
      </w:pPr>
      <w:r>
        <w:t xml:space="preserve">Über die mit dem Verlust der Hofeigenschaft verbundenen Rechtsfolgen hat mich der beglaubigende Notar belehrt. Er hat mich insbesondere darauf hingewiesen,</w:t>
      </w:r>
    </w:p>
    <w:p>
      <w:pPr>
        <w:pStyle w:val="ListeManuell1Ebene"/>
      </w:pPr>
      <w:r>
        <w:t xml:space="preserve">a)	dass die Vererbung und lebzeitige Übertragung der landwirtschaftlichen Besitzung sich nicht mehr nach den besonderen Vorschriften der HöfeO richtet, sondern nach den allgemeinen Bestimmungen insbesondere des BGB, die von denen der HöfeO teilweise erheblich abweichen; über die diesbezüglichen Unterschiede hat mich der Notar belehrt;</w:t>
      </w:r>
    </w:p>
    <w:p>
      <w:pPr>
        <w:pStyle w:val="ListeManuell1Ebene"/>
      </w:pPr>
      <w:r>
        <w:t xml:space="preserve">b)	dass damit die landwirtschaftliche Besitzung auch an mehrere Personen, auch an nicht wirtschaftsfähige Personen, vererbt oder übertragen werden kann,</w:t>
      </w:r>
    </w:p>
    <w:p>
      <w:pPr>
        <w:pStyle w:val="ListeManuell1Ebene"/>
      </w:pPr>
      <w:r>
        <w:t xml:space="preserve">c)	dass die Abfindungsvergünstigungen, welche die HöfeO für den Hofnachfolger im Interesse des Erhalts der landwirtschaftlichen Besitzung vorsieht, entfallen,</w:t>
      </w:r>
    </w:p>
    <w:p>
      <w:pPr>
        <w:pStyle w:val="ListeManuell1Ebene"/>
      </w:pPr>
      <w:r>
        <w:t xml:space="preserve">d)	dass Nachabfindungsansprüche der weichenden Erben, welche die HöfeO insbesondere für den Fall der ganzen oder teilweisen Veräußerung des Hofes gewährt, grundsätzlich nicht mehr in Betracht kommen,</w:t>
      </w:r>
    </w:p>
    <w:p>
      <w:pPr>
        <w:pStyle w:val="ListeManuell1Ebene"/>
      </w:pPr>
      <w:r>
        <w:t xml:space="preserve">e)	dass erbrechtliche oder höferechtliche Bindungen, die der Hofeigentümer bereits eingegangen sein sollte, trotz der Hofaufhebungserklärung bestehen bleiben. Solche Bindungen können zum Beispiel dadurch entstehen, dass der Hofeigentümer einem Abkömmling die Bewirtschaftung des Hofes auf Dauer übertragen hat oder durch Art und Umfang der Beschäftigung eines Abkömmlings auf dem Hof hat erkennen lassen, dass dieser den Hof übernehmen soll.</w:t>
      </w:r>
    </w:p>
    <w:p>
      <w:pPr>
        <w:pStyle w:val="Textabsatz"/>
      </w:pPr>
      <w:r>
        <w:t xml:space="preserve">B., den </w:t>
      </w:r>
      <w:bookmarkStart w:name="Graufeld21" w:id="0"/>
      <w:r>
        <w:fldChar w:fldCharType="begin"/>
      </w:r>
      <w:r>
        <w:instrText xml:space="preserve"> FORMTEXT </w:instrText>
      </w:r>
      <w:r>
        <w:fldChar w:fldCharType="separate"/>
      </w:r>
      <w:r>
        <w:t xml:space="preserve">     </w:t>
      </w:r>
      <w:r>
        <w:fldChar w:fldCharType="end"/>
      </w:r>
      <w:bookmarkEnd w:id="0"/>
    </w:p>
    <w:p>
      <w:pPr>
        <w:pStyle w:val="Textabsatz"/>
      </w:pPr>
      <w:bookmarkStart w:name="Graufeld22" w:id="1"/>
      <w:r>
        <w:fldChar w:fldCharType="begin"/>
      </w:r>
      <w:r>
        <w:instrText xml:space="preserve"> FORMTEXT </w:instrText>
      </w:r>
      <w:r>
        <w:fldChar w:fldCharType="separate"/>
      </w:r>
      <w:r>
        <w:t xml:space="preserve">     </w:t>
      </w:r>
      <w:r>
        <w:fldChar w:fldCharType="end"/>
      </w:r>
      <w:bookmarkEnd w:id="1"/>
    </w:p>
    <w:p>
      <w:pPr>
        <w:pStyle w:val="Textabsatz"/>
      </w:pPr>
      <w:r>
        <w:t xml:space="preserve">(Notarielle Unterschriftsbeglaubigung)</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