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Mit lediglich schuldrechtlicher Wirkung vereinbaren die Vertragsbeteiligten:</w:t>
      </w:r>
    </w:p>
    <w:p>
      <w:pPr>
        <w:pStyle w:val="Textabsatz"/>
      </w:pPr>
      <w:r>
        <w:t xml:space="preserve">Die Rechte aus dem vorstehenden Wohnungsrecht ruhen ersatz- und entschädigungslos, wenn der Wohnungsberechtigte das übertragene Anwesen nicht nur vorübergehend verlässt. Ansprüche des Wohnungsberechtigten aus einer etwaigen Vermietung oder sonstigen Nutzung der dem Wohnrecht unterliegenden Räume durch den Eigentümer oder durch Dritte während dieser Zeit werden ausgeschlossen.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