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Mit dinglicher Wirkung wird als Inhalt des Wohnungsrechts vereinbart:</w:t>
      </w:r>
    </w:p>
    <w:p>
      <w:pPr>
        <w:pStyle w:val="Textabsatz"/>
      </w:pPr>
      <w:r>
        <w:t xml:space="preserve">Der Eigentümer ist verpflichtet, die dem Wohnungsrecht unterliegenden Räume in einem jederzeit gut bewohnbaren und beheizbaren Zustand zu erhalten. Er ist auch verpflichtet, die Kosten der Schönheitsreparaturen zu tragen.</w:t>
      </w:r>
    </w:p>
    <w:p>
      <w:pPr>
        <w:pStyle w:val="Textabsatz"/>
      </w:pPr>
      <w:r>
        <w:t xml:space="preserve">Der Eigentümer hat ferner sämtliche Kosten der Versorgung und Entsorgung der dem Wohnungsrecht unterliegenden Räume und der zum gemeinschaftlichen Gebrauch bestimmten Anlagen und Einrichtungen zu tragen, insbesondere die Kosten für Strom, Heizung, Gas, Wasser, Abwasser und Müllabfuhr; dies gilt sowohl für die verbrauchsabhängigen wie auch für die verbrauchsunabhängigen Kosten der Ver- und Entsorgung.</w:t>
      </w:r>
    </w:p>
    <w:p>
      <w:pPr>
        <w:pStyle w:val="Textabsatz"/>
      </w:pPr>
      <w:r>
        <w:t xml:space="preserve">Zur Löschung des Wohnungsrechts genügt der Nachweis des Todes des Wohnungsberechtigten, was hiermit ebenfalls zur Eintragung bewilligt wird.</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