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isteManuell1Ebene"/>
      </w:pPr>
      <w:r>
        <w:t xml:space="preserve">1.	Die Veräußerer, die Eheleute M. und F., behalten sich als Gesamtberechtigte gemäß § 428 BGB an der übertragenen Hofstelle Gemarkung </w:t>
      </w:r>
      <w:bookmarkStart w:name="Graufeld32" w:id="0"/>
      <w:r>
        <w:fldChar w:fldCharType="begin"/>
      </w:r>
      <w:r>
        <w:instrText xml:space="preserve"> FORMTEXT </w:instrText>
      </w:r>
      <w:r>
        <w:fldChar w:fldCharType="separate"/>
      </w:r>
      <w:r>
        <w:t xml:space="preserve">     </w:t>
      </w:r>
      <w:r>
        <w:fldChar w:fldCharType="end"/>
      </w:r>
      <w:bookmarkEnd w:id="0"/>
      <w:r>
        <w:t xml:space="preserve"> Flur </w:t>
      </w:r>
      <w:bookmarkStart w:name="Graufeld33" w:id="1"/>
      <w:r>
        <w:fldChar w:fldCharType="begin"/>
      </w:r>
      <w:r>
        <w:instrText xml:space="preserve"> FORMTEXT </w:instrText>
      </w:r>
      <w:r>
        <w:fldChar w:fldCharType="separate"/>
      </w:r>
      <w:r>
        <w:t xml:space="preserve">     </w:t>
      </w:r>
      <w:r>
        <w:fldChar w:fldCharType="end"/>
      </w:r>
      <w:bookmarkEnd w:id="1"/>
      <w:r>
        <w:t xml:space="preserve"> Nr. </w:t>
      </w:r>
      <w:bookmarkStart w:name="Graufeld34" w:id="2"/>
      <w:r>
        <w:fldChar w:fldCharType="begin"/>
      </w:r>
      <w:r>
        <w:instrText xml:space="preserve"> FORMTEXT </w:instrText>
      </w:r>
      <w:r>
        <w:fldChar w:fldCharType="separate"/>
      </w:r>
      <w:r>
        <w:t xml:space="preserve">     </w:t>
      </w:r>
      <w:r>
        <w:fldChar w:fldCharType="end"/>
      </w:r>
      <w:bookmarkEnd w:id="2"/>
      <w:r>
        <w:t xml:space="preserve"> das Wohnungsrecht vor, folgende Räume unter Ausschluss des Eigentümers zu nutzen:</w:t>
      </w:r>
    </w:p>
    <w:p>
      <w:pPr>
        <w:pStyle w:val="ListeEinzug1Ebene"/>
      </w:pPr>
      <w:r>
        <w:t xml:space="preserve">sämtliche Räume der Wohnung im Erdgeschoss sowie die auf der Hofstelle befindliche – vom Hauseingang aus gesehen – rechts gelegene Garage.</w:t>
      </w:r>
    </w:p>
    <w:p>
      <w:pPr>
        <w:pStyle w:val="ListeEinzug1Ebene"/>
      </w:pPr>
      <w:r>
        <w:t xml:space="preserve">Das Wohnungsrecht berechtigt auch zur Mitbenutzung der zum gemeinschaftlichen Gebrauch der Bewohner bestimmten Anlagen und Einrichtungen, insbesondere des Kellers, des Speichers und des Hausgartens.</w:t>
      </w:r>
    </w:p>
    <w:p>
      <w:pPr>
        <w:pStyle w:val="ListeEinzug1Ebene"/>
      </w:pPr>
      <w:r>
        <w:t xml:space="preserve">Das Wohnungsrecht darf Dritten nicht zur Ausübung überlassen werden.</w:t>
      </w:r>
    </w:p>
    <w:p>
      <w:pPr>
        <w:pStyle w:val="ListeEinzug1Ebene"/>
      </w:pPr>
      <w:r>
        <w:t xml:space="preserve">Das Wohnungsrecht steht den Berechtigten Zeit ihres Lebens zu, dem Überlebenden von ihnen uneingeschränkt und allein.</w:t>
      </w:r>
    </w:p>
    <w:p>
      <w:pPr>
        <w:pStyle w:val="ListeEinzug1Ebene"/>
      </w:pPr>
      <w:r>
        <w:t xml:space="preserve">Mit dinglicher Wirkung wird vereinbart:</w:t>
      </w:r>
    </w:p>
    <w:p>
      <w:pPr>
        <w:pStyle w:val="ListeEinzug1Ebene"/>
      </w:pPr>
      <w:r>
        <w:t xml:space="preserve">Der Eigentümer hat die dem Wohnungsrecht unterliegenden Räume in einem jederzeit gut bewohnbaren und beheizbaren Zustand zu erhalten. Er ist auch verpflichtet, die Kosten der Schönheitsreparaturen zu tragen.</w:t>
      </w:r>
    </w:p>
    <w:p>
      <w:pPr>
        <w:pStyle w:val="ListeEinzug1Ebene"/>
      </w:pPr>
      <w:r>
        <w:t xml:space="preserve">Der Eigentümer hat ferner sämtliche Kosten der Versorgung und Entsorgung der dem Wohnungsrecht unterliegenden Räume und der zum gemeinschaftlichen Gebrauch bestimmten Anlagen und Einrichtungen zu tragen, insbesondere die Kosten für Strom, Heizung, Gas, Wasser, Abwasser und Müllabfuhr; dies gilt sowohl für die verbrauchsabhängigen wie auch für die verbrauchsunabhängigen Kosten der Ver- und Entsorgung.</w:t>
      </w:r>
    </w:p>
    <w:p>
      <w:pPr>
        <w:pStyle w:val="ListeManuell1Ebene"/>
      </w:pPr>
      <w:r>
        <w:t xml:space="preserve">2.	Der Erwerber bewilligt und die Veräußerer beantragen die Eintragung eines Wohnungsrechts auf der in Ziffer 1. genannten Hofstelle zugunsten der Veräußerer – als Gesamtberechtigte gemäß § 428 BGB – mit dem Vermerk, dass zur Löschung des Rechts der Nachweis des Todes der Wohnungsberechtigten genügt.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