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Der Veräußerer behält sich auf seine Lebenszeit den Nießbrauch an dem in dieser Urkunde übertragenen Grundbesitz vor. Für den Nießbrauch gelten die gesetzlichen Bestimmungen, jedoch mit der Maßgabe, dass abweichend von der gesetzlichen Regelung mit dinglicher Wirkung folgendes vereinbart wird:</w:t>
      </w:r>
    </w:p>
    <w:p>
      <w:pPr>
        <w:pStyle w:val="ListeManuell1Ebene"/>
      </w:pPr>
      <w:r>
        <w:t xml:space="preserve">a)	Ausbesserungen und Erneuerungen trägt der Nießbraucher auch insoweit, als sie über die gewöhnliche Unterhaltung der Sache hinausgehen; er ist auch zur tatsächlichen Durchführung dieser Maßnahmen verpflichtet.</w:t>
      </w:r>
    </w:p>
    <w:p>
      <w:pPr>
        <w:pStyle w:val="ListeManuell1Ebene"/>
      </w:pPr>
      <w:r>
        <w:t xml:space="preserve">b)	Der Nießbraucher trägt auch die auf dem Nießbrauchgrundbesitz ruhenden außerordentlichen öffentlichen Lasten, die auf dessen Stammwert gelegt anzusehen sind.</w:t>
      </w:r>
    </w:p>
    <w:p>
      <w:pPr>
        <w:pStyle w:val="ListeManuell1Ebene"/>
      </w:pPr>
      <w:r>
        <w:t xml:space="preserve">c)	Der Nießbraucher trägt ferner neben den Zinsen auch die Tilgung solcher Verbindlichkeiten, die bereits zur Zeit der Bestellung dieses Nießbrauchrechts durch Grundpfandrechte auf dem Nießbrauchgrundbesitz abgesichert sind.</w:t>
      </w:r>
    </w:p>
    <w:p>
      <w:pPr>
        <w:pStyle w:val="Textabsatz"/>
      </w:pPr>
      <w:r>
        <w:t xml:space="preserve">Die Vertragsbeteiligten bewilligen und beantragen die Eintragung dieses Nießbrauchs zugunsten des Veräußerers auf dem übertragenen Grundbesitz mit dem Vermerk, dass zur Löschung des Rechts der Nachweis des Todes des Berechtigten genügt.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