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isteManuell1Ebene"/>
      </w:pPr>
      <w:r>
        <w:t xml:space="preserve">1.	Der Veräußerer behält sich auf seine Lebenszeit den Nießbrauch an dem in dieser Urkunde übertragenen Grundbesitz vor. Für den Nießbrauch gelten die gesetzlichen Bestimmungen, jedoch mit der Maßgabe, dass abweichend hiervon mit dinglicher Wirkung Folgendes vereinbart wird:</w:t>
      </w:r>
    </w:p>
    <w:p>
      <w:pPr>
        <w:pStyle w:val="ListeEinzug1Ebene"/>
      </w:pPr>
      <w:r>
        <w:t xml:space="preserve">Der Nießbraucher ist weder zur Lastentragung nach § 1047 BGB noch zur Erhaltung der Sache in ihrem wirtschaftlichen Bestand und zur gewöhnlichen Unterhaltung des Sache nach § 1041 BGB verpflichtet. Er ist auch nicht verpflichtet, die Sache nach § 1045 BGB zu versichern. Die Verpflichtung des Nießbrauchers zur Sicherheitsleistung nach § 1051 BGB wird ausgeschlossen.</w:t>
      </w:r>
    </w:p>
    <w:p>
      <w:pPr>
        <w:pStyle w:val="ListeManuell1Ebene"/>
      </w:pPr>
      <w:r>
        <w:t xml:space="preserve">2.	Mit lediglich schuldrechtlicher Wirkung verpflichtet sich der Erwerber gegenüber dem Veräußerer, alle auf dem Grundbesitz ruhenden öffentlichen und privaten Lasten zu tragen, den Grundbesitz gegen Brandschaden und sonstige Unfälle zu versichern und die Versicherungsbeiträge zu zahlen, den Grundbesitz für die Dauer des Nießbrauchs instand zu halten und alle Ausbesserungen und Erneuerungen, die während der Dauer des Nießbrauchs erforderlich werden, auf seine (des Erwerbers) Kosten vorzunehmen.</w:t>
      </w:r>
    </w:p>
    <w:p>
      <w:pPr>
        <w:pStyle w:val="ListeEinzug1Ebene"/>
      </w:pPr>
      <w:r>
        <w:t xml:space="preserve">Der Erwerber verpflichtet sich, im Falle einer Weiterveräußerung diese Verpflichtungen seinen Rechtsnachfolgern im Eigentum aufzuerlegen und diese ihrerseits zur Weitergabe an deren Rechtsnachfolgern zu verpflichten.</w:t>
      </w:r>
    </w:p>
    <w:p>
      <w:pPr>
        <w:pStyle w:val="ListeManuell1Ebene"/>
      </w:pPr>
      <w:r>
        <w:t xml:space="preserve">3.	Die Vertragsbeteiligten bewilligen und beantragen die Eintragung des Nießbrauchs nach Ziffer 1. zugunsten des Veräußerers auf dem übertragenen Grundbesitz mit dem Vermerk, dass zur Löschung des Rechts der Nachweis des Todes des Berechtigten genügt.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