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Die eingangs dieser Urkunde genannte Grundschuld Abt. III. Nr. 1 wird vom Erwerber dinglich übernommen. Nach Angaben des Veräußerers liegen dieser Grundschuld keine Verbindlichkeiten mehr zugrunde. Veräußerer und Erwerber vereinbaren, dass eine Neuvalutierung der Grundschuld nur zulässig ist, wenn ihr sowohl der Veräußerer als auch der Erwerber ausdrücklich zustimmen. Diese Einschränkung des Sicherungszwecks bedarf zu ihrer Wirksamkeit der Zustimmung des Grundschuldgläubigers, die der Notar einholen soll. Der Erwerber verpflichtet sich gegenüber dem Veräußerer, einer Neuvalutierung der Grundschuld zuzustimmen, sofern es sich um Darlehen handelt, die ausschließlich der Finanzierung der vom Veräußerer hinsichtlich des Nießbrauchgrundbesitzes zu tragenden Aufwendungen dienen, insbesondere von Maßnahmen zur Instandhaltung und Instandsetzung.</w:t>
      </w:r>
    </w:p>
    <w:p>
      <w:pPr>
        <w:pStyle w:val="Textabsatz"/>
      </w:pPr>
      <w:r>
        <w:t xml:space="preserve">Der Veräußerer tritt die ihm bei Beendigung des Nießbrauchs zustehenden Eigentümerrechte und Rückgewähransprüche hinsichtlich der vorgenannten Grundschuld an den Erwerber ab, und zwar unter der aufschiebenden Bedingung der Beendigung des Nießbrauchs. Die Eintragung der Abtretung im Grundbuch wird hiermit bewilligt.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