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Erwerber verpflichtet sich, auf Verlangen des Veräußerers und zu Lasten des in dieser Urkunde übertragenen Grundbesitzes Grundpfandrechte bis zur Höhe von insgesamt </w:t>
      </w:r>
      <w:bookmarkStart w:name="Graufeld35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 EUR nebst bis zu 20 % Jahreszinsen, die Zinsen mit Beginn ab Grundpfandrechtsbewilligung, sowie einer einmaligen Nebenleistung von bis zu 10 % zu bestellen und den jeweiligen Eigentümer dinglich gemäß § 800 ZPO der sofortigen Zwangsvollstreckung zu unterwerfen sowie alle zur Eintragung solcher Grundpfandrechte und der dinglichen Zwangsvollstreckungsunterwerfung gemäß § 800 ZPO erforderlichen Erklärungen und Bewilligungen in der gesetzlich hierfür vorgeschriebenen Form abzugeben, sofern folgende dem Erwerber nachzuweisende Voraussetzungen erfüllt werden:</w:t>
      </w:r>
    </w:p>
    <w:p>
      <w:pPr>
        <w:pStyle w:val="ListeManuell1Ebene"/>
      </w:pPr>
      <w:r>
        <w:t xml:space="preserve">a)	Das Grundpfandrecht muss zugunsten eines Kreditinstituts mit Sitz oder Niederlassung in der Bundesrepublik Deutschland bestellt werden.</w:t>
      </w:r>
    </w:p>
    <w:p>
      <w:pPr>
        <w:pStyle w:val="ListeManuell1Ebene"/>
      </w:pPr>
      <w:r>
        <w:t xml:space="preserve">b)	Das Grundpfandrecht dient ausschließlich der Absicherung von Darlehen, die der Veräußerer zur Finanzierung von Instandsetzungs- oder Instandhaltungsmaßnahmen am Nießbrauchgrundbesitz aufnimmt.</w:t>
      </w:r>
    </w:p>
    <w:p>
      <w:pPr>
        <w:pStyle w:val="ListeManuell1Ebene"/>
      </w:pPr>
      <w:r>
        <w:t xml:space="preserve">c)	Eine Abänderung der Sicherungsabrede bedarf der Zustimmung des jeweiligen Eigentümers.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