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Veräußerer ist jederzeit berechtigt, gegen Aufgabe seines Nießbrauchrechts die Zahlung einer Rente zu verlangen. Das Rentenwahlrecht ist durch schriftliche Erklärung gegenüber dem Erwerber auszuüben. Übt der Veräußerer das Rentenwahlrecht aus, so ist der Erwerber verpflichtet, ab dem Monat, der auf den Zugang der Ausübungserklärung folgt, an den Veräußerer auf dessen Lebensdauer eine Rente in Höhe von monatlich </w:t>
      </w:r>
      <w:bookmarkStart w:name="Graufeld36" w:id="0"/>
      <w:r>
        <w:fldChar w:fldCharType="begin"/>
      </w:r>
      <w:r>
        <w:instrText xml:space="preserve"> FORMTEXT </w:instrText>
      </w:r>
      <w:r>
        <w:fldChar w:fldCharType="separate"/>
      </w:r>
      <w:r>
        <w:t xml:space="preserve">     </w:t>
      </w:r>
      <w:r>
        <w:fldChar w:fldCharType="end"/>
      </w:r>
      <w:bookmarkEnd w:id="0"/>
      <w:r>
        <w:t xml:space="preserve"> EUR zu zahlen. Die Rente ist jeweils monatlich im Voraus bis zum 3. Tag des Monats zu zahlen.</w:t>
      </w:r>
    </w:p>
    <w:p>
      <w:pPr>
        <w:pStyle w:val="ListeManuell1Ebene"/>
      </w:pPr>
      <w:r>
        <w:t xml:space="preserve">2.	Die Rente wird wie folgt wertgesichert:</w:t>
      </w:r>
    </w:p>
    <w:p>
      <w:pPr>
        <w:pStyle w:val="ListeEinzug1Ebene"/>
      </w:pPr>
      <w:r>
        <w:t xml:space="preserve">Sollte sich der vom Statistischen Bundesamt in Wiesbaden veröffentlichte Verbraucherpreisindex für Deutschland (Basis 2020 = 100) gegenüber dem Stand des auf die Beurkundung diesen Vertrages folgenden Monats um mehr als fünf Prozent nach oben oder unten verändern, so erhöht oder vermindert sich die Rente um den gleichen Prozentsatz, und zwar ab Beginn des Monats, der auf die Indexveränderung folgt. Diese Wertsicherungsklausel gilt jeweils erneut nach jeder Anpassung, wenn sich der genannte Verbraucherpreisindex wiederum um mehr als fünf Prozent nach oben oder unten verändert, wobei jeweils vom letzten Änderungsbetrag auszugehen ist.</w:t>
      </w:r>
    </w:p>
    <w:p>
      <w:pPr>
        <w:pStyle w:val="ListeManuell1Ebene"/>
      </w:pPr>
      <w:r>
        <w:t xml:space="preserve">3.	Nach Ausübung des Rentenwahlrechts haben die Vertragsbeteiligten folgende Verpflichtungen zu erfüllen:</w:t>
      </w:r>
    </w:p>
    <w:p>
      <w:pPr>
        <w:pStyle w:val="ListeEinzug1Ebene"/>
      </w:pPr>
      <w:r>
        <w:t xml:space="preserve">Der Veräußerer hat die Löschung des Nießbrauchs im Grundbuch zu bewilligen. Der Erwerber hat die Eintragung einer wertgesicherten Reallast zugunsten des Veräußerers und zulasten des übertragenen Grundbesitzes zur Sicherung der vorstehend vereinbarten Rentenzahlungsverpflichtung zu bewilligen und sich wegen dieser Zahlungsverpflichtung sowie wegen des dinglichen und des persönlichen Anspruchs aus der Reallast der sofortigen Zwangsvollstreckung zu unterwerfen. Die mit der Erfüllung dieser Verpflichtungen verbundenen Notar- und Grundbuchkosten tragen Veräußerer und Erwerber zu gleichen Anteilen.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