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Zum Rentenstammrecht der Leibrente wird hiermit Folgendes vereinbart:</w:t>
      </w:r>
    </w:p>
    <w:p>
      <w:pPr>
        <w:pStyle w:val="Textabsatz"/>
      </w:pPr>
      <w:r>
        <w:t xml:space="preserve">Das Rentenstammrecht verjährt in dreißig Jahren nach dem gesetzlichen Verjährungsbeginn. Für die sich aus dem Rentenstammrecht ergebenden Einzelansprüche auf Rentenzahlungen verbleibt es bei der gesetzlichen Verjährungsfrist von drei Jahren.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