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Die vorstehend vereinbarte Leibrente wird wie folgt wertgesichert:</w:t>
      </w:r>
    </w:p>
    <w:p>
      <w:pPr>
        <w:pStyle w:val="Textabsatz"/>
      </w:pPr>
      <w:r>
        <w:t xml:space="preserve">Sollte sich der vom Statistischen Bundesamt in Wiesbaden veröffentlichte Verbraucherpreisindex für Deutschland (Basis 2020 = 100) gegenüber dem Stand des auf die Beurkundung diesen Vertrages folgenden Monats um mehr als fünf Prozent nach oben oder unten verändern, so erhöht oder vermindert sich die Leibrente um den gleichen Prozentsatz, und zwar ab Beginn des Monats, der auf die Indexveränderung folgt, ohne dass es einer Aufforderung seitens der durch die Änderung begünstigten Vertragspartei bedarf. Diese Wertsicherungsklausel gilt jeweils erneut, wenn sich der genannte Verbraucherpreisindex wiederum um mehr als fünf Prozent nach oben oder unten verändert, wobei jeweils vom letzten Änderungsbetrag auszugehen ist.</w:t>
      </w:r>
    </w:p>
    <w:p>
      <w:pPr>
        <w:pStyle w:val="Textabsatz"/>
      </w:pPr>
      <w:r>
        <w:t xml:space="preserve">Eine Anpassung der Leibrente aus anderen Gründen, insbesondere nach § 323a ZPO und § 239 FamFG, wird ausgeschlossen.</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