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1. Der Erwerber verpflichtet sich, an den Veräußerer auf dessen Lebenszeit als dauernde Last einen Betrag in Höhe von monatlich 1.800 EUR – in Worten: eintausendachthundert EUR – zu zahlen. Der Betrag ist jeweils monatlich im Voraus bis zum dritten Tag des Monats zu zahlen, erstmals am dritten Tag des Monats, der auf die Beurkundung dieses Vertrages folgt.</w:t>
      </w:r>
    </w:p>
    <w:p>
      <w:pPr>
        <w:pStyle w:val="Textabsatz"/>
      </w:pPr>
      <w:r>
        <w:t xml:space="preserve">Etwaige Zahlungsrückstände, die im Zeitpunkt des Todes des Veräußerers bestehen sollten, sind nicht vererblich; sie werden dem Erwerber bereits jetzt mit Wirkung zum Tod des Veräußerers erlassen.</w:t>
      </w:r>
    </w:p>
    <w:p>
      <w:pPr>
        <w:pStyle w:val="Textabsatz"/>
      </w:pPr>
      <w:r>
        <w:t xml:space="preserve">2. Bei einer wesentlichen Veränderung der heutigen Verhältnisse, insbesondere des Bedarfs des Veräußerers, der Leistungsfähigkeit des Erwerbers oder der Kaufkraft des Geldes, ist jeder Vertragsteil in analoger Anwendung von § 323a ZPO und § 239 FamFG berechtigt, eine entsprechende Anpassung der monatlichen Zahlungen zu verlangen. Eine Wertsicherung der dauernden Last durch eine unmittelbare Ankoppelung an die Entwicklung des Verbraucherpreisindexes für Deutschland wird nicht vereinbart. Eine Anpassung kann immer nur für die Zukunft gefordert werden; das Anpassungsverlangen bedarf der Schriftform. Ein Mehrbedarf, der dadurch entsteht, dass der Veräußerer das übertragenen Hofanwesen verlässt, begründet kein Erhöhungsverlangen, es sei denn, der Erwerber hätte den Wegzug zu vertreten.</w:t>
      </w:r>
    </w:p>
    <w:p>
      <w:pPr>
        <w:pStyle w:val="Textabsatz"/>
      </w:pPr>
      <w:r>
        <w:t xml:space="preserve">3. Der Erwerber unterwirft sich wegen des dinglichen und des persönlichen Anspruchs aus der nachstehend bewilligten Reallast sowie wegen der vorstehend vereinbarten persönlichen Zahlungsverpflichtung in Höhe des Ausgangsbetrages von 1.800 EUR monatlich der sofortigen Zwangsvollstreckung aus dieser Urkunde in sein Vermögen. Der Notar ist ermächtigt, jederzeit ohne weitere Nachweise vollstreckbare Ausfertigung dieser Urkunde zu erteilen.</w:t>
      </w:r>
    </w:p>
    <w:p>
      <w:pPr>
        <w:pStyle w:val="Textabsatz"/>
      </w:pPr>
      <w:r>
        <w:t xml:space="preserve">Der Erwerber ist auf Verlangen und auf Kosten des Veräußerers verpflichtet, sich nach einer Anpassung nach Ziffer 2. wegen etwaiger Erhöhungsbeträge der sofortigen Zwangsvollstreckung zu unterwerfen.</w:t>
      </w:r>
    </w:p>
    <w:p>
      <w:pPr>
        <w:pStyle w:val="Textabsatz"/>
      </w:pPr>
      <w:r>
        <w:t xml:space="preserve">4. Zur Sicherung der dauernden Last in Höhe des Ausgangsbetrages von 1.800 EUR monatlich bewilligen und beantragen die Vertragsbeteiligten die Eintragung einer Reallast zugunsten des Veräußerers auf dem gesamten in dieser Urkunde übertragenen Grundbesitz, wobei jedoch die Abänderungsbefugnis nach Ziffer 2. nicht dinglicher Inhalt der Reallast ist, mit dem Vermerk, dass zur Löschung des Rechts der Nachweis des Todes des Berechtigten genügt.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