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Der Übernehmer gewährt dem Übergeber auf dessen Lebenszeit ein Altenteil, bestehend aus:</w:t>
      </w:r>
    </w:p>
    <w:p>
      <w:pPr>
        <w:pStyle w:val="ListeManuell2Ebene"/>
      </w:pPr>
      <w:r>
        <w:t xml:space="preserve">a)	dem ausschließlichen Wohnungsrecht des Übergebers an sämtlichen Räumen der Wohnung im Erdgeschoss der übertragenen Hofstelle </w:t>
      </w:r>
      <w:bookmarkStart w:name="Graufeld38" w:id="0"/>
      <w:r>
        <w:fldChar w:fldCharType="begin"/>
      </w:r>
      <w:r>
        <w:instrText xml:space="preserve"> FORMTEXT </w:instrText>
      </w:r>
      <w:r>
        <w:fldChar w:fldCharType="separate"/>
      </w:r>
      <w:r>
        <w:t xml:space="preserve">     </w:t>
      </w:r>
      <w:r>
        <w:fldChar w:fldCharType="end"/>
      </w:r>
      <w:bookmarkEnd w:id="0"/>
      <w:r>
        <w:t xml:space="preserve">. Dieses Recht umfasst auch das Recht zur Mitbenutzung der zum gemeinschaftlichen Gebrauch bestimmten Einrichtungen und Anlagen. Der Eigentümer hat die dem Wohnungsrecht unterliegenden Räume in einem jederzeit gut bewohn- und beheizbaren Zustand zu erhalten. Er ist auch verpflichtet, die Kosten der Schönheitsreparaturen zu tragen. Der Eigentümer trägt auch sämtliche verbrauchsabhängigen und verbrauchsunabhängigen Nebenkosten, die mit den dem Wohnungsrecht unterliegenden Räumen und der zum gemeinschaftlichen Gebrauch bestimmten Anlagen und Einrichtungen verbunden sind. Das Wohnungsrecht darf Dritten nicht überlassen werden.</w:t>
      </w:r>
    </w:p>
    <w:p>
      <w:pPr>
        <w:pStyle w:val="ListeManuell2Ebene"/>
      </w:pPr>
      <w:r>
        <w:t xml:space="preserve">b)	der Verpflichtung des Übernehmers, dem Übergeber den Haushalt zu führen und die erforderliche Pflege in den Räumen des übertragenen Hofanwesens zu gewähren, soweit der Übergeber hierzu objektiv nicht mehr selbst in der Lage ist und solange die Pflegeverpflichtung dem Übernehmer zumutbar ist. Als zumutbar wird dabei nur eine solche Pflege angesehen, die nach dem Urteil des Hausarztes des Übergebers einen durchschnittlichen täglichen Zeitaufwand von nicht mehr als zwei Stunden erfordert. Darüberhinausgehende Pflegeleistungen hat der Übernehmer nach diesem Vertrag nicht zu erbringen. Die Pflegeverpflichtung umfasst außerdem nicht solche Leistungen, die nur von geschultem Personal erbracht werden können.</w:t>
      </w:r>
    </w:p>
    <w:p>
      <w:pPr>
        <w:pStyle w:val="ListeEinzug2Ebene"/>
      </w:pPr>
      <w:r>
        <w:t xml:space="preserve">Die vorstehenden Verpflichtungen ruhen, soweit der Übergeber aufgrund seiner Pflegebedürftigkeit häusliche Pflegehilfe oder Pflegegeld nach den gesetzlichen Vorschriften beanspruchen kann. Soweit dem Übernehmer das Pflegegeld überlassen wird, sind jedoch die Pflegeleistungen von ihm zu erbringen, für die Zahlungen aus der Pflegeversicherung geleistet werden.</w:t>
      </w:r>
    </w:p>
    <w:p>
      <w:pPr>
        <w:pStyle w:val="ListeManuell2Ebene"/>
      </w:pPr>
      <w:r>
        <w:t xml:space="preserve">c)	der Verpflichtung des Übernehmers, an den Übergeber eine monatliche Leibrente in Höhe von 1.500 EUR (in Worten: eintausendfünfhundert EUR) zu zahlen, und zwar jeweils zahlbar im Voraus bis zum Dritten eines Monats, erstmals für den Monat </w:t>
      </w:r>
      <w:bookmarkStart w:name="Graufeld39" w:id="1"/>
      <w:r>
        <w:fldChar w:fldCharType="begin"/>
      </w:r>
      <w:r>
        <w:instrText xml:space="preserve"> FORMTEXT </w:instrText>
      </w:r>
      <w:r>
        <w:fldChar w:fldCharType="separate"/>
      </w:r>
      <w:r>
        <w:t xml:space="preserve">     </w:t>
      </w:r>
      <w:r>
        <w:fldChar w:fldCharType="end"/>
      </w:r>
      <w:bookmarkEnd w:id="1"/>
      <w:r>
        <w:t xml:space="preserve">.</w:t>
      </w:r>
    </w:p>
    <w:p>
      <w:pPr>
        <w:pStyle w:val="ListeManuell2Ebene"/>
      </w:pPr>
      <w:r>
        <w:t xml:space="preserve">d)	der Verpflichtung des Übernehmers, die Kosten für die Beerdigung des Übergebers und den Grabstein sowie die Grabpflegekosten zu tragen.</w:t>
      </w:r>
    </w:p>
    <w:p>
      <w:pPr>
        <w:pStyle w:val="ListeEinzug1Ebene"/>
      </w:pPr>
      <w:r>
        <w:t xml:space="preserve">Bei einem dauerhaften Auszug des Übergebers aus dem übertragenen Hofanwesen entfällt das Altenteil. In diesem Fall gelten für die vorgenannten Leistungen die landesrechtlichen Regelungen in Art. 15 §§ 1–10 des PrAGBGB, über deren Inhalt der Notar die Beteiligten belehrt hat. (Alternativ: In diesem Fall findet eine Umwandlung der Altenteilsleistungen in eine Geldersatzrente nicht statt. Insoweit werden alle etwaigen Surrogatsansprüche, insbesondere solche aus den landesrechtlichen Vorschriften, ausdrücklich ausgeschlossen.)</w:t>
      </w:r>
    </w:p>
    <w:p>
      <w:pPr>
        <w:pStyle w:val="ListeEinzug1Ebene"/>
      </w:pPr>
      <w:r>
        <w:t xml:space="preserve">Die vorstehend unter lit. a) bis mit lit. c) vereinbarten Leistungen sollen dinglich gesichert werden. Die vorstehend unter lit. d) vereinbarte Leistung (Beerdigungs-, Grabstein- und Grabpflegekosten) soll hingegen nicht dinglich gesichert werden.</w:t>
      </w:r>
    </w:p>
    <w:p>
      <w:pPr>
        <w:pStyle w:val="ListeManuell1Ebene"/>
      </w:pPr>
      <w:r>
        <w:t xml:space="preserve">2.	Zur Sicherung der vorstehend unter Ziff. 1 a)–c) vereinbarten Leistungen bewilligen und beantragen die Beteiligten in das Grundbuch mit unter sich gleichem Rang einzutragen:</w:t>
      </w:r>
    </w:p>
    <w:p>
      <w:pPr>
        <w:pStyle w:val="ListeManuell2Ebene"/>
      </w:pPr>
      <w:r>
        <w:t xml:space="preserve">a)	für das vorstehend unter Ziff. 1 a) vereinbarte Wohnungsrecht eine beschränkte persönliche Dienstbarkeit (§ 1093 BGB) auf der eingangs genannten Hofstelle zugunsten des Übergebers,</w:t>
      </w:r>
    </w:p>
    <w:p>
      <w:pPr>
        <w:pStyle w:val="ListeManuell2Ebene"/>
      </w:pPr>
      <w:r>
        <w:t xml:space="preserve">b)	für die vorstehend unter Ziff. 1 b) und c) vereinbarten, wiederkehrenden Leistungen eine Reallast am übergebenen Grundbesitz zugunsten des Übergebers,</w:t>
      </w:r>
    </w:p>
    <w:p>
      <w:pPr>
        <w:pStyle w:val="ListeEinzug1Ebene"/>
      </w:pPr>
      <w:r>
        <w:t xml:space="preserve">unter Zusammenfassung zu einem Altenteil mit dem Zusatz, dass zur Löschung der Todesnachweis des Altenteilers genügt.</w:t>
      </w:r>
    </w:p>
    <w:p>
      <w:pPr>
        <w:pStyle w:val="ListeManuell1Ebene"/>
      </w:pPr>
      <w:r>
        <w:t xml:space="preserve">3.	Wegen der in Ziff. 1. eingegangenen Verpflichtungen zur Zahlung bestimmter Geldbeträge unterwirft sich der Übernehmer der sofortigen Zwangsvollstreckung aus dieser Urkunde mit der Maßgabe, dass Vollstreckungsklausel jederzeit auf einseitigen Antrag des Gläubigers ohne weitere Nachweise erteilt werden kann.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