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1. Der Veräußerer ist Schuldner der Verbindlichkeiten, die durch die folgende im Grundbuch von </w:t>
      </w:r>
      <w:bookmarkStart w:name="Graufeld40" w:id="0"/>
      <w:r>
        <w:fldChar w:fldCharType="begin"/>
      </w:r>
      <w:r>
        <w:instrText xml:space="preserve"> FORMTEXT </w:instrText>
      </w:r>
      <w:r>
        <w:fldChar w:fldCharType="separate"/>
      </w:r>
      <w:r>
        <w:t xml:space="preserve">     </w:t>
      </w:r>
      <w:r>
        <w:fldChar w:fldCharType="end"/>
      </w:r>
      <w:bookmarkEnd w:id="0"/>
      <w:r>
        <w:t xml:space="preserve"> Blatt </w:t>
      </w:r>
      <w:bookmarkStart w:name="Graufeld41" w:id="1"/>
      <w:r>
        <w:fldChar w:fldCharType="begin"/>
      </w:r>
      <w:r>
        <w:instrText xml:space="preserve"> FORMTEXT </w:instrText>
      </w:r>
      <w:r>
        <w:fldChar w:fldCharType="separate"/>
      </w:r>
      <w:r>
        <w:t xml:space="preserve">     </w:t>
      </w:r>
      <w:r>
        <w:fldChar w:fldCharType="end"/>
      </w:r>
      <w:bookmarkEnd w:id="1"/>
      <w:r>
        <w:t xml:space="preserve"> Abt. III Nr. 1 eingetragene Grundschuld gesichert werden:</w:t>
      </w:r>
    </w:p>
    <w:p>
      <w:pPr>
        <w:pStyle w:val="Textabsatz"/>
      </w:pPr>
      <w:r>
        <w:t xml:space="preserve">Grundschuld zugunsten der B-Bank in Höhe von </w:t>
      </w:r>
      <w:bookmarkStart w:name="Graufeld42" w:id="2"/>
      <w:r>
        <w:fldChar w:fldCharType="begin"/>
      </w:r>
      <w:r>
        <w:instrText xml:space="preserve"> FORMTEXT </w:instrText>
      </w:r>
      <w:r>
        <w:fldChar w:fldCharType="separate"/>
      </w:r>
      <w:r>
        <w:t xml:space="preserve">     </w:t>
      </w:r>
      <w:r>
        <w:fldChar w:fldCharType="end"/>
      </w:r>
      <w:bookmarkEnd w:id="2"/>
      <w:r>
        <w:t xml:space="preserve"> EUR nebst </w:t>
      </w:r>
      <w:bookmarkStart w:name="Graufeld43" w:id="3"/>
      <w:r>
        <w:fldChar w:fldCharType="begin"/>
      </w:r>
      <w:r>
        <w:instrText xml:space="preserve"> FORMTEXT </w:instrText>
      </w:r>
      <w:r>
        <w:fldChar w:fldCharType="separate"/>
      </w:r>
      <w:r>
        <w:t xml:space="preserve">     </w:t>
      </w:r>
      <w:r>
        <w:fldChar w:fldCharType="end"/>
      </w:r>
      <w:bookmarkEnd w:id="3"/>
      <w:r>
        <w:t xml:space="preserve"> % Jahreszinsen ab dem </w:t>
      </w:r>
      <w:bookmarkStart w:name="Graufeld44" w:id="4"/>
      <w:r>
        <w:fldChar w:fldCharType="begin"/>
      </w:r>
      <w:r>
        <w:instrText xml:space="preserve"> FORMTEXT </w:instrText>
      </w:r>
      <w:r>
        <w:fldChar w:fldCharType="separate"/>
      </w:r>
      <w:r>
        <w:t xml:space="preserve">     </w:t>
      </w:r>
      <w:r>
        <w:fldChar w:fldCharType="end"/>
      </w:r>
      <w:bookmarkEnd w:id="4"/>
      <w:r>
        <w:t xml:space="preserve">, die Zinsen jeweils fällig nachträglich am letzten Tag des Jahres.</w:t>
      </w:r>
    </w:p>
    <w:p>
      <w:pPr>
        <w:pStyle w:val="Textabsatz"/>
      </w:pPr>
      <w:r>
        <w:t xml:space="preserve">2. Der Erwerber übernimmt die durch diese Grundschuld gesicherten Verbindlichkeiten nebst Zinsen und allen Nebenleistungen mit schuldbefreiender Wirkung anstelle des Veräußerers mit Wirkung ab dem Tag des Besitzübergangs, somit ab dem </w:t>
      </w:r>
      <w:bookmarkStart w:name="Graufeld45" w:id="5"/>
      <w:r>
        <w:fldChar w:fldCharType="begin"/>
      </w:r>
      <w:r>
        <w:instrText xml:space="preserve"> FORMTEXT </w:instrText>
      </w:r>
      <w:r>
        <w:fldChar w:fldCharType="separate"/>
      </w:r>
      <w:r>
        <w:t xml:space="preserve">     </w:t>
      </w:r>
      <w:r>
        <w:fldChar w:fldCharType="end"/>
      </w:r>
      <w:bookmarkEnd w:id="5"/>
      <w:r>
        <w:t xml:space="preserve">. Nach den Angaben der Vertragsbeteiligten handelt es sich hierbei um die Verbindlichkeiten aus dem Darlehen der B-Bank mit der Darlehensnummer </w:t>
      </w:r>
      <w:bookmarkStart w:name="Graufeld46" w:id="6"/>
      <w:r>
        <w:fldChar w:fldCharType="begin"/>
      </w:r>
      <w:r>
        <w:instrText xml:space="preserve"> FORMTEXT </w:instrText>
      </w:r>
      <w:r>
        <w:fldChar w:fldCharType="separate"/>
      </w:r>
      <w:r>
        <w:t xml:space="preserve">     </w:t>
      </w:r>
      <w:r>
        <w:fldChar w:fldCharType="end"/>
      </w:r>
      <w:bookmarkEnd w:id="6"/>
      <w:r>
        <w:t xml:space="preserve">, deren Höhe derzeit </w:t>
      </w:r>
      <w:bookmarkStart w:name="Graufeld47" w:id="7"/>
      <w:r>
        <w:fldChar w:fldCharType="begin"/>
      </w:r>
      <w:r>
        <w:instrText xml:space="preserve"> FORMTEXT </w:instrText>
      </w:r>
      <w:r>
        <w:fldChar w:fldCharType="separate"/>
      </w:r>
      <w:r>
        <w:t xml:space="preserve">     </w:t>
      </w:r>
      <w:r>
        <w:fldChar w:fldCharType="end"/>
      </w:r>
      <w:bookmarkEnd w:id="7"/>
      <w:r>
        <w:t xml:space="preserve"> EUR beträgt. Sollten die Verbindlichkeiten am Besitzübergangstag höher oder niedriger sein als vorstehend angegeben, so erfolgt kein Ausgleich.</w:t>
      </w:r>
    </w:p>
    <w:p>
      <w:pPr>
        <w:pStyle w:val="Textabsatz"/>
      </w:pPr>
      <w:r>
        <w:t xml:space="preserve">Der Notar hat darauf hingewiesen, dass die Schuldübernahme nur wirksam wird, wenn der Gläubiger sie genehmigt; vorher wird der Veräußerer nicht von seiner Haftung frei. Der Notar wird beauftragt, dem Gläubiger eine beglaubigte Abschrift dieser Urkunde zu übersenden und die Genehmigung der Schuldübernahme zu beantragen. Bis zur Erteilung dieser Genehmigung hat der Erwerber den Veräußerer von jeglicher Inanspruchnahme aus den übernommenen Verbindlichkeiten freizustellen (Erfüllungsübernahme); das gilt auch, wenn die Genehmigung verweigert wird. Die mit der Schuldübernahme verbundenen Kosten hat der Erwerber zu tragen.</w:t>
      </w:r>
    </w:p>
    <w:p>
      <w:pPr>
        <w:pStyle w:val="Textabsatz"/>
      </w:pPr>
      <w:r>
        <w:t xml:space="preserve">3. Der Erwerber übernimmt die vorbezeichnete Grundschuld dinglich.</w:t>
      </w:r>
    </w:p>
    <w:p>
      <w:pPr>
        <w:pStyle w:val="Textabsatz"/>
      </w:pPr>
      <w:r>
        <w:t xml:space="preserve">Er erkennt an, dem Grundschuldgläubiger einen Betrag in Höhe des Nennbetrags der Grundschuld nebst </w:t>
      </w:r>
      <w:bookmarkStart w:name="Graufeld48" w:id="8"/>
      <w:r>
        <w:fldChar w:fldCharType="begin"/>
      </w:r>
      <w:r>
        <w:instrText xml:space="preserve"> FORMTEXT </w:instrText>
      </w:r>
      <w:r>
        <w:fldChar w:fldCharType="separate"/>
      </w:r>
      <w:r>
        <w:t xml:space="preserve">     </w:t>
      </w:r>
      <w:r>
        <w:fldChar w:fldCharType="end"/>
      </w:r>
      <w:bookmarkEnd w:id="8"/>
      <w:r>
        <w:t xml:space="preserve"> % Jahreszinsen ab Grundschuldbewilligung in der Weise zu schulden, dass das Anerkenntnis die Verpflichtung zur Zahlung selbstständig begründen soll. Er unterwirft sich in Höhe des Grundschuldbetrages nebst vorgenannter Zinsen der sofortigen Zwangsvollstreckung aus dieser Urkunde in sein gesamtes Vermögen. Der Notar wird ermächtigt, dem Grundschuldgläubiger ohne weitere Nachweise vollstreckbare Ausfertigung dieser Urkunde zu erteilen.</w:t>
      </w:r>
    </w:p>
    <w:p>
      <w:pPr>
        <w:pStyle w:val="Textabsatz"/>
      </w:pPr>
      <w:r>
        <w:t xml:space="preserve">4. Der Veräußerer tritt mit Wirkung ab Eigentumsumschreibung sämtliche Rechte und Ansprüche, die ihm hinsichtlich der vorgenannten Grundschuld zustehen, insbesondere die Ansprüche auf Rückgewähr der Grundschuld, an den Erwerber ab und bewilligt die Eintragung der Abtretung im Grundbuch.</w:t>
      </w:r>
    </w:p>
    <w:p>
      <w:pPr>
        <w:pStyle w:val="Textabsatz"/>
      </w:pPr>
      <w:r>
        <w:t xml:space="preserve">5. Die Sicherungszweckerklärung zur vorgenannten Grundschuld wird wie folgt geändert:</w:t>
      </w:r>
    </w:p>
    <w:p>
      <w:pPr>
        <w:pStyle w:val="Textabsatz"/>
      </w:pPr>
      <w:r>
        <w:t xml:space="preserve">Die Grundschuld sichert lediglich Verbindlichkeiten des Erwerbers, nicht aber solche des Veräußerers. Solange die in dieser Urkunde bewilligten Altenteilsrechte des Veräußerers bestehen, sichert die Grundschuld darüber hinaus einschränkend nur solche Verbindlichkeiten des Erwerbers, deren Absicherung der Veräußerer schriftlich zugestimmt hat. Während des Bestehens dieser Altenteilsrechte ist eine Änderung oder Aufhebung der Sicherungszweckerklärung nur mit schriftlicher Zustimmung des Veräußerers zulässig.</w:t>
      </w:r>
    </w:p>
    <w:p>
      <w:pPr>
        <w:pStyle w:val="Textabsatz"/>
      </w:pPr>
      <w:r>
        <w:t xml:space="preserve">Der Notar wird beauftragt, die zur vorstehenden Änderung der Sicherungszweckerklärung erforderliche Zustimmung des Gläubigers einzuholen.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