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1. Der Veräußerer ist Schuldner der Verbindlichkeiten, die durch die vorgenannte im Grundbuch von </w:t>
      </w:r>
      <w:bookmarkStart w:name="Graufeld49" w:id="0"/>
      <w:r>
        <w:fldChar w:fldCharType="begin"/>
      </w:r>
      <w:r>
        <w:instrText xml:space="preserve"> FORMTEXT </w:instrText>
      </w:r>
      <w:r>
        <w:fldChar w:fldCharType="separate"/>
      </w:r>
      <w:r>
        <w:t xml:space="preserve">     </w:t>
      </w:r>
      <w:r>
        <w:fldChar w:fldCharType="end"/>
      </w:r>
      <w:bookmarkEnd w:id="0"/>
      <w:r>
        <w:t xml:space="preserve"> Blatt </w:t>
      </w:r>
      <w:bookmarkStart w:name="Graufeld50" w:id="1"/>
      <w:r>
        <w:fldChar w:fldCharType="begin"/>
      </w:r>
      <w:r>
        <w:instrText xml:space="preserve"> FORMTEXT </w:instrText>
      </w:r>
      <w:r>
        <w:fldChar w:fldCharType="separate"/>
      </w:r>
      <w:r>
        <w:t xml:space="preserve">     </w:t>
      </w:r>
      <w:r>
        <w:fldChar w:fldCharType="end"/>
      </w:r>
      <w:bookmarkEnd w:id="1"/>
      <w:r>
        <w:t xml:space="preserve"> Abt. III Nr. 1 eingetragene Grundschuld gesichert sind.</w:t>
      </w:r>
    </w:p>
    <w:p>
      <w:pPr>
        <w:pStyle w:val="Textabsatz"/>
      </w:pPr>
      <w:r>
        <w:t xml:space="preserve">2. Der Erwerber verpflichtet sich gegenüber dem Veräußerer, diesen mit Wirkung im Außenverhältnis zum Gläubiger von den durch diese Grundschuld gesicherten Verbindlichkeiten freizustellen. Dem Erwerber steht es frei, dies zu bewirken, indem er mit dem Gläubiger eine befreiende Schuldübernahme vereinbart oder die Verbindlichkeiten tilgt, sei es mit eigenen Mitteln oder durch Aufnahme eines neuen Darlehens, oder auf andere Weise herbeiführt, dass der Veräußerer für diese Verbindlichkeiten nicht mehr in Anspruch genommen werden kann.</w:t>
      </w:r>
    </w:p>
    <w:p>
      <w:pPr>
        <w:pStyle w:val="Textabsatz"/>
      </w:pPr>
      <w:r>
        <w:t xml:space="preserve">Der Erwerber hat dem Veräußerer bis zum </w:t>
      </w:r>
      <w:bookmarkStart w:name="Graufeld51" w:id="2"/>
      <w:r>
        <w:fldChar w:fldCharType="begin"/>
      </w:r>
      <w:r>
        <w:instrText xml:space="preserve"> FORMTEXT </w:instrText>
      </w:r>
      <w:r>
        <w:fldChar w:fldCharType="separate"/>
      </w:r>
      <w:r>
        <w:t xml:space="preserve">     </w:t>
      </w:r>
      <w:r>
        <w:fldChar w:fldCharType="end"/>
      </w:r>
      <w:bookmarkEnd w:id="2"/>
      <w:r>
        <w:t xml:space="preserve"> durch Bestätigung des Gläubigers nachzuweisen, dass die Haftung des Veräußerers für diese Verbindlichkeiten erloschen ist. Bis zum Erlöschen dieser Haftung hat der Erwerber den Veräußerer im Innenverhältnis von jeglicher Inanspruchnahme freizustellen und die Zins- und Tilgungsleistungen auf diese Verbindlichkeiten zu erbringen.</w:t>
      </w:r>
    </w:p>
    <w:p>
      <w:pPr>
        <w:pStyle w:val="Textabsatz"/>
      </w:pPr>
      <w:r>
        <w:t xml:space="preserve">Der Notar wird angewiesen, die Eigentumsumschreibung auf den Erwerber erst nach Erhalt der vorgenannten Gläubigerbestätigung zu beantragen; vorher soll er keine die Auflassung enthaltene Ausfertigungen oder beglaubigte Abschriften dieser Urkunde erteilen.</w:t>
      </w:r>
    </w:p>
    <w:p>
      <w:pPr>
        <w:pStyle w:val="Textabsatz"/>
      </w:pPr>
      <w:r>
        <w:t xml:space="preserve">Nach den Angaben der Vertragsbeteiligten handelt es bei den gesicherten Verbindlichkeiten um solche aus dem Darlehen der B-Bank mit der Darlehensnummer </w:t>
      </w:r>
      <w:bookmarkStart w:name="Graufeld52" w:id="3"/>
      <w:r>
        <w:fldChar w:fldCharType="begin"/>
      </w:r>
      <w:r>
        <w:instrText xml:space="preserve"> FORMTEXT </w:instrText>
      </w:r>
      <w:r>
        <w:fldChar w:fldCharType="separate"/>
      </w:r>
      <w:r>
        <w:t xml:space="preserve">     </w:t>
      </w:r>
      <w:r>
        <w:fldChar w:fldCharType="end"/>
      </w:r>
      <w:bookmarkEnd w:id="3"/>
      <w:r>
        <w:t xml:space="preserve">; deren Höhe beträgt derzeit </w:t>
      </w:r>
      <w:bookmarkStart w:name="Graufeld53" w:id="4"/>
      <w:r>
        <w:fldChar w:fldCharType="begin"/>
      </w:r>
      <w:r>
        <w:instrText xml:space="preserve"> FORMTEXT </w:instrText>
      </w:r>
      <w:r>
        <w:fldChar w:fldCharType="separate"/>
      </w:r>
      <w:r>
        <w:t xml:space="preserve">     </w:t>
      </w:r>
      <w:r>
        <w:fldChar w:fldCharType="end"/>
      </w:r>
      <w:bookmarkEnd w:id="4"/>
      <w:r>
        <w:t xml:space="preserve"> EUR. Sollten die Verbindlichkeiten am Besitzübergangstag höher oder niedriger sein als vorstehend angegeben, so erfolgt kein Ausgleich.</w:t>
      </w:r>
    </w:p>
    <w:p>
      <w:pPr>
        <w:pStyle w:val="Textabsatz"/>
      </w:pPr>
      <w:r>
        <w:t xml:space="preserve">3. Alle mit der Freistellung verbundenen Kosten hat der Erwerber zu tragen. Dies gilt auch für eine etwaige Vorfälligkeitsentschädigung.</w:t>
      </w:r>
    </w:p>
    <w:p>
      <w:pPr>
        <w:pStyle w:val="Textabsatz"/>
      </w:pPr>
      <w:r>
        <w:t xml:space="preserve">4. Der Erwerber übernimmt die vorbezeichnete Grundschuld dinglich.</w:t>
      </w:r>
    </w:p>
    <w:p>
      <w:pPr>
        <w:pStyle w:val="Textabsatz"/>
      </w:pPr>
      <w:r>
        <w:t xml:space="preserve">Er erkennt an, dem Grundschuldgläubiger einen Betrag in Höhe des Nennbetrags der Grundschuld nebst </w:t>
      </w:r>
      <w:bookmarkStart w:name="Graufeld54" w:id="5"/>
      <w:r>
        <w:fldChar w:fldCharType="begin"/>
      </w:r>
      <w:r>
        <w:instrText xml:space="preserve"> FORMTEXT </w:instrText>
      </w:r>
      <w:r>
        <w:fldChar w:fldCharType="separate"/>
      </w:r>
      <w:r>
        <w:t xml:space="preserve">     </w:t>
      </w:r>
      <w:r>
        <w:fldChar w:fldCharType="end"/>
      </w:r>
      <w:bookmarkEnd w:id="5"/>
      <w:r>
        <w:t xml:space="preserve"> % Jahreszinsen ab Grundschuldbewilligung in der Weise zu schulden, dass das Anerkenntnis die Verpflichtung zur Zahlung selbstständig begründen soll. Er unterwirft sich in Höhe des Grundschuldbetrages nebst vorgenannter Zinsen der sofortigen Zwangsvollstreckung aus dieser Urkunde in sein gesamtes Vermögen. Der Notar wird ermächtigt, dem Grundschuldgläubiger ohne weitere Nachweise vollstreckbare Ausfertigung dieser Urkunde zu erteilen.</w:t>
      </w:r>
    </w:p>
    <w:p>
      <w:pPr>
        <w:pStyle w:val="Textabsatz"/>
      </w:pPr>
      <w:r>
        <w:t xml:space="preserve">5. Der Veräußerer tritt mit Wirkung ab Eigentumsumschreibung sämtliche Rechte und Ansprüche, die ihm hinsichtlich der vorgenannten Grundschuld zustehen, insbesondere die Ansprüche auf Rückgewähr der Grundschuld, an den Erwerber ab und bewilligt die Eintragung der Abtretung im Grundbuch.</w:t>
      </w:r>
    </w:p>
    <w:p>
      <w:pPr>
        <w:pStyle w:val="Textabsatz"/>
      </w:pPr>
      <w:r>
        <w:t xml:space="preserve">6. Die Sicherungszweckerklärung zur vorgenannten Grundschuld wird wie folgt geändert:</w:t>
      </w:r>
    </w:p>
    <w:p>
      <w:pPr>
        <w:pStyle w:val="Textabsatz"/>
      </w:pPr>
      <w:r>
        <w:t xml:space="preserve">Die Grundschuld sichert lediglich Verbindlichkeiten des Erwerbers, nicht aber solche des Veräußerers. Solange die in dieser Urkunde bewilligten Altenteilsrechte des Veräußerers bestehen, sichert die Grundschuld darüber hinaus einschränkend nur solche Verbindlichkeiten des Erwerbers, deren Absicherung der Veräußerer schriftlich zugestimmt hat. Während des Bestehens dieser Altenteilsrechte ist eine Änderung oder Aufhebung der Sicherungszweckerklärung nur mit schriftlicher Zustimmung des Veräußerers zulässig.</w:t>
      </w:r>
    </w:p>
    <w:p>
      <w:pPr>
        <w:pStyle w:val="Textabsatz"/>
      </w:pPr>
      <w:r>
        <w:t xml:space="preserve">Der Notar wird beauftragt, die zur vorstehenden Änderung der Sicherungszweckerklärung erforderliche Zustimmung des Gläubigers einzuholen.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