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Das Rückforderungsrecht entfällt nach Ablauf von 15 Jahren, gerechnet ab der heutigen Beurkundung des Übergabevertrages. Hat der Übergeber das Rückforderungsrecht jedoch vor Ablauf dieses Zeitraums berechtigt ausgeübt, so bleibt der hierdurch entstandene Rückübereignungsanspruch bestehen.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