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Das Rückforderungsrecht ist nicht vererblich und nicht übertragbar. Hat der Veräußerer jedoch das Rückforderungsrecht zu seinen Lebzeiten berechtigt ausgeübt, so ist der durch die Ausübung des Rechts entstandene Rückübereignungsanspruch sowohl vererblich als auch übertragbar.</w:t>
      </w:r>
    </w:p>
    <w:p>
      <w:pPr>
        <w:pStyle w:val="Textabsatz"/>
      </w:pPr>
      <w:r>
        <w:t xml:space="preserve">Das Rückforderungsrecht ist höchstpersönlich und kann nur durch den Veräußerer selbst ausgeübt werden, nicht aber durch Bevollmächtigte, gesetzliche Vertreter oder sonstige Personen. (alternativ: Das Rückforderungsrecht kann nur durch den Veräußerer selbst oder durch von ihm Bevollmächtigte ausgeübt werden, nicht aber durch gesetzliche Vertreter oder sonstige Personen).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