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Das Rückforderungsrecht steht beiden Veräußerern als Gesamtberechtigte gemäß § 428 BGB mit folgender Maßgabe zu:</w:t>
      </w:r>
    </w:p>
    <w:p>
      <w:pPr>
        <w:pStyle w:val="Textabsatz"/>
      </w:pPr>
      <w:r>
        <w:t xml:space="preserve">Zu Lebzeiten beider Veräußerer kann das Rückforderungsrecht nur von ihnen gemeinsam ausgeübt werden. Sie können hierbei nach freiem Belieben bestimmen, in welchem Beteiligungsverhältnis der Rückerwerb erfolgen soll, ob an einen von ihnen allein, ob an sie beide zu beliebigen Miteigentumsquoten oder in Gesellschaft bürgerlichen Rechts.</w:t>
      </w:r>
    </w:p>
    <w:p>
      <w:pPr>
        <w:pStyle w:val="Textabsatz"/>
      </w:pPr>
      <w:r>
        <w:t xml:space="preserve">Nach dem Tode eines Veräußerers steht das Rückforderungsrecht dem Überlebenden von ihnen allein zu. Übt er es aus, so ist der gesamte übertragenen Grundbesitz an ihn zu Alleineigentum zurück zu übertragen.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