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Tritt ein Rückforderungsgrund nur in der Person eines von mehreren Erwerbern ein, so kann nur die Rückübereignung des diesem Erwerber übertragenen Grundbesitzes oder Miteigentumsanteils verlangt werden.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