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Veräußerer behält sich das Recht vor, von der Erwerberin die Rückübereignung des in dieser Urkunde übertragenen Grundbesitzes zu verlangen, falls einer der folgenden Rückübertragungsgründe eintritt:</w:t>
      </w:r>
    </w:p>
    <w:p>
      <w:pPr>
        <w:pStyle w:val="ListeManuell1Ebene"/>
      </w:pPr>
      <w:r>
        <w:t xml:space="preserve">a)	falls der übertragene Grundbesitz ohne Zustimmung des Veräußerers ganz oder teilweise veräußert oder belastet wird;</w:t>
      </w:r>
    </w:p>
    <w:p>
      <w:pPr>
        <w:pStyle w:val="ListeManuell1Ebene"/>
      </w:pPr>
      <w:r>
        <w:t xml:space="preserve">b)	falls sich ohne Zustimmung des Veräußerers der Gesellschafterbestand der Erwerberin unmittelbar oder mittelbar verändert. Eine Veränderung des Gesellschafterbestandes in diesem Sinne liegt auch vor, wenn sich die Gesellschaftsbeteiligung eines Gesellschafters erhöht oder verringert;</w:t>
      </w:r>
    </w:p>
    <w:p>
      <w:pPr>
        <w:pStyle w:val="ListeManuell1Ebene"/>
      </w:pPr>
      <w:r>
        <w:t xml:space="preserve">c)	falls ein Gesellschafter der Erwerberin vor dem Veräußerer verstirbt;</w:t>
      </w:r>
    </w:p>
    <w:p>
      <w:pPr>
        <w:pStyle w:val="ListeManuell1Ebene"/>
      </w:pPr>
      <w:r>
        <w:t xml:space="preserve">d)	falls in den übertragenen Grundbesitz oder in einen Gesellschaftsanteil eines Gesellschafters der Erwerberin Zwangsvollstreckungsmaßnahmen eingeleitet und nicht innerhalb von vier Wochen wieder aufgehoben werden;</w:t>
      </w:r>
    </w:p>
    <w:p>
      <w:pPr>
        <w:pStyle w:val="ListeManuell1Ebene"/>
      </w:pPr>
      <w:r>
        <w:t xml:space="preserve">e)	falls über das Vermögen der Erwerberin oder eines Gesellschafters der Erwerberin das Insolvenzverfahren eröffnet oder die Eröffnung mangels Masse abgelehnt wird;</w:t>
      </w:r>
    </w:p>
    <w:p>
      <w:pPr>
        <w:pStyle w:val="ListeManuell1Ebene"/>
      </w:pPr>
      <w:r>
        <w:t xml:space="preserve">f)	falls ein Gesellschafter der Erwerberin von seinem (gegebenenfalls künftigen) Ehepartner geschieden wird oder länger als sechs Monate getrennt lebt im Sinne des § 1567 BGB. Dieses Recht besteht jedoch nicht, wenn der betreffende Gesellschafter ehevertraglich sichergestellt hat, dass sein Gesellschaftsanteil und dessen Wertsteigerungen im Rahmen eines Zugewinnausgleichs nicht berücksichtigt werden.</w:t>
      </w:r>
    </w:p>
    <w:p>
      <w:pPr>
        <w:pStyle w:val="Textabsatz"/>
      </w:pPr>
      <w:r>
        <w:t xml:space="preserve">Die Beteiligten stellen ausdrücklich klar, dass das vorstehend vorbehaltene Rückübertragungsrecht bereits dann eingreifen soll, wenn ein Rückübertragungsgrund nur in der Person eines von mehreren Gesellschaftern der Erwerberin eintritt. In diesem Fall kann die Rückübereignung des gesamten der Erwerberin übertragenen Grundbesitzes verlangt werden.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