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Wechselt der Eigentümer des übertragenen Grundbesitzes, so kommt es für den Eintritt eines Rückforderungsgrundes auf die Person, das Verhalten, das Eigentum und die sonstigen Verhältnisse bei dem neuen Eigentümer an.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