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Das Rückforderungsrecht und der Rückübereignungsanspruch des Veräußerers sind auf die Lebenszeit des Veräußerers befristet und erlöschen mit dessen Tod; sie sind nicht vererblich und nicht übertragbar. Das gilt auch dann, wenn der Veräußerer das Rückforderungsrecht bereits zu seinen Lebzeiten geltend gemacht haben sollte.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