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isteManuell1Ebene"/>
      </w:pPr>
      <w:r>
        <w:t xml:space="preserve">1.	Der Veräußerer behält sich das Recht vor, die Rückübereignung des in dieser Urkunde übertragenen Grundbesitzes zu verlangen, falls einer der folgenden Rückübertragungsgründe eintritt:</w:t>
      </w:r>
    </w:p>
    <w:p>
      <w:pPr>
        <w:pStyle w:val="ListeManuell2Ebene"/>
      </w:pPr>
      <w:r>
        <w:t xml:space="preserve">a)	falls der Erwerber den Grundbesitz ohne Zustimmung des Veräußerers ganz oder teilweise veräußert oder belastet. Zu einer Veräußerung in diesem Sinne gehört auch die Errichtung einer Gütergemeinschaft, sofern der hier übertragene Grundbesitz nicht ehevertraglich zum Vorbehaltsgut erklärt wird. Zu einer Belastung in diesem Sinne gehört auch die Neuvalutierung einer in diesem Vertrag übernommenen Grundschuld;</w:t>
      </w:r>
    </w:p>
    <w:p>
      <w:pPr>
        <w:pStyle w:val="ListeManuell2Ebene"/>
      </w:pPr>
      <w:r>
        <w:t xml:space="preserve">b)	falls der Erwerber vor dem Veräußerer verstirbt;</w:t>
      </w:r>
    </w:p>
    <w:p>
      <w:pPr>
        <w:pStyle w:val="ListeManuell2Ebene"/>
      </w:pPr>
      <w:r>
        <w:t xml:space="preserve">c)	falls der Erwerber sich eines groben Undanks im Sinne des § 530 BGB schuldig macht;</w:t>
      </w:r>
    </w:p>
    <w:p>
      <w:pPr>
        <w:pStyle w:val="ListeManuell2Ebene"/>
      </w:pPr>
      <w:r>
        <w:t xml:space="preserve">d)	falls sich der Erwerber mit der in dieser Urkunde übernommenen Rentenzahlungsverpflichtung hinsichtlich eines Betrages, der drei Monatsbeträge übersteigt, in Verzug befindet;</w:t>
      </w:r>
    </w:p>
    <w:p>
      <w:pPr>
        <w:pStyle w:val="ListeManuell2Ebene"/>
      </w:pPr>
      <w:r>
        <w:t xml:space="preserve">e)	falls in den Grundbesitz Zwangsvollstreckungsmaßnahmen eingeleitet und nicht innerhalb von vier Wochen wieder aufgehoben werden;</w:t>
      </w:r>
    </w:p>
    <w:p>
      <w:pPr>
        <w:pStyle w:val="ListeManuell2Ebene"/>
      </w:pPr>
      <w:r>
        <w:t xml:space="preserve">f)	falls über das Vermögen des Erwerbers das Insolvenzverfahren eröffnet oder die Eröffnung mangels Masse abgelehnt wird;</w:t>
      </w:r>
    </w:p>
    <w:p>
      <w:pPr>
        <w:pStyle w:val="ListeManuell2Ebene"/>
      </w:pPr>
      <w:r>
        <w:t xml:space="preserve">g)	falls der Erwerber von seinem (gegebenenfalls künftigen) Ehepartner geschieden wird oder länger als sechs Monate getrennt lebt im Sinne des § 1567 BGB. Dieses Recht besteht jedoch nicht, wenn der Erwerber ehevertraglich sichergestellt hat, dass der in dieser Urkunde übertragene Grundbesitz und dessen Wertsteigerungen im Rahmen eines Zugewinnausgleichs nicht berücksichtigt werden.</w:t>
      </w:r>
    </w:p>
    <w:p>
      <w:pPr>
        <w:pStyle w:val="ListeManuell1Ebene"/>
      </w:pPr>
      <w:r>
        <w:t xml:space="preserve">2.	Zu einer Veräußerung und Belastung der in dieser Urkunde übertragenen Grundstücke Flur 3 Nr. 6 und Flur 4 Nr. 7 erteilt der Veräußerer bereits hiermit seine ausdrückliche und uneingeschränkte Zustimmung. Hinsichtlich der übrigen in dieser Urkunde übertragenen Grundstücke, mit Ausnahme der Hofstelle und des Grundstücks Flur 5 Nr. 8, kann der Erwerber von dem Veräußerer die Zustimmung zu einer Veräußerung und Belastung verlangen, sofern die Veräußerung oder Belastung mit den Grundsätzen ordnungsgemäßer Wirtschaft zu vereinbaren ist und den Zweck des schuldrechtlichen Verfügungsverbots (den Erhalt des Grundbesitzes in der Familie) nicht wesentlich beeinträchtigt oder gefährdet.</w:t>
      </w:r>
    </w:p>
    <w:p>
      <w:pPr>
        <w:pStyle w:val="ListeManuell1Ebene"/>
      </w:pPr>
      <w:r>
        <w:t xml:space="preserve">3.	Das Rückforderungsrecht ist nicht vererblich und nicht übertragbar. Hat der Veräußerer jedoch das Rückforderungsrecht zu seinen Lebzeiten berechtigt ausgeübt, so ist der durch die Ausübung des Rechts entstandene Rückübereignungsanspruch sowohl vererblich als auch übertragbar.</w:t>
      </w:r>
    </w:p>
    <w:p>
      <w:pPr>
        <w:pStyle w:val="ListeEinzug1Ebene"/>
      </w:pPr>
      <w:r>
        <w:t xml:space="preserve">Das Rückforderungsrecht ist höchstpersönlich und kann nicht durch Vertreter, weder durch rechtsgeschäftliche noch durch gesetzliche Vertreter, ausgeübt werden.</w:t>
      </w:r>
    </w:p>
    <w:p>
      <w:pPr>
        <w:pStyle w:val="ListeManuell1Ebene"/>
      </w:pPr>
      <w:r>
        <w:t xml:space="preserve">4.	Die Ausübung des Rückforderungsrecht bedarf der Schriftform. Das Rückforderungsrecht kann nur innerhalb von zwölf Monaten, nachdem der Rückforderungsberechtigte vom Rückforderungsgrund Kenntnis erlangt hat, ausgeübt werden. Das gilt jedoch nicht für eine Rückforderung wegen Vorversterbens des Erwerbers (Rückforderungsgrund gemäß Ziff. 1. Buchst. b)); diesbezüglich wird eine Ausübungsfrist ausdrücklich ausgeschlossen.</w:t>
      </w:r>
    </w:p>
    <w:p>
      <w:pPr>
        <w:pStyle w:val="ListeManuell1Ebene"/>
      </w:pPr>
      <w:r>
        <w:t xml:space="preserve">5.	Wechselt der Eigentümer des übertragenen Grundbesitzes, so kommt es für den Eintritt eines Rückforderungsgrundes auf die Person, das Verhalten, das Eigentum und die sonstigen Verhältnisse bei dem neuen Eigentümer an.</w:t>
      </w:r>
    </w:p>
    <w:p>
      <w:pPr>
        <w:pStyle w:val="ListeManuell1Ebene"/>
      </w:pPr>
      <w:r>
        <w:t xml:space="preserve">6.	Übt der Veräußerer das Rückforderungsrecht aus, so hat der Erwerber den Grundbesitz an den Veräußerer, gegebenenfalls an dessen Erben, zurück zu übereignen.</w:t>
      </w:r>
    </w:p>
    <w:p>
      <w:pPr>
        <w:pStyle w:val="ListeEinzug1Ebene"/>
      </w:pPr>
      <w:r>
        <w:t xml:space="preserve">Die Rückübereignung hat unentgeltlich zu erfolgen, sofern nachstehend nicht anderes vereinbart ist.</w:t>
      </w:r>
    </w:p>
    <w:p>
      <w:pPr>
        <w:pStyle w:val="ListeManuell1Ebene"/>
      </w:pPr>
      <w:r>
        <w:t xml:space="preserve">7.	Im Falle der Rückforderung sind dem Erwerber Zug um Zug gegen Rückübereignung zu erstatten:</w:t>
      </w:r>
    </w:p>
    <w:p>
      <w:pPr>
        <w:pStyle w:val="ListeManuell2Ebene"/>
      </w:pPr>
      <w:r>
        <w:t xml:space="preserve">a)	Herauszahlungen, die der Erwerber aufgrund dieses Vertrages an seine Geschwister geleistet hat;</w:t>
      </w:r>
    </w:p>
    <w:p>
      <w:pPr>
        <w:pStyle w:val="ListeManuell2Ebene"/>
      </w:pPr>
      <w:r>
        <w:t xml:space="preserve">b)	das Gutabstandsgeld, das der Erwerber aufgrund dieses Vertrages an den Veräußerer gezahlt hat,</w:t>
      </w:r>
    </w:p>
    <w:p>
      <w:pPr>
        <w:pStyle w:val="ListeManuell2Ebene"/>
      </w:pPr>
      <w:r>
        <w:t xml:space="preserve">c)	nachgewiesene werterhöhende Aufwendungen des Erwerbers in den übertragenen Grundbesitz, soweit die Werterhöhung im Zeitpunkt der Rückübertragung noch besteht,</w:t>
      </w:r>
    </w:p>
    <w:p>
      <w:pPr>
        <w:pStyle w:val="ListeManuell2Ebene"/>
      </w:pPr>
      <w:r>
        <w:t xml:space="preserve">d)	Tilgungsleistungen, die der Erwerber auf die nach diesem Vertrag übernommenen Darlehensverbindlichkeiten erbracht hat.</w:t>
      </w:r>
    </w:p>
    <w:p>
      <w:pPr>
        <w:pStyle w:val="ListeEinzug1Ebene"/>
      </w:pPr>
      <w:r>
        <w:t xml:space="preserve">In Anrechnung auf diesen Erstattungsbetrag hat der Veräußerer im Wege der befreienden Schuldübernahme die Darlehen zu übernehmen, die der Erwerber zur Finanzierung der zu erstattenden Leistungen und Aufwendungen aufgenommen hat. Soweit diese Darlehen auf dem übertragenen Grundbesitz dinglich gesichert sein sollten, hat der Veräußerer auch die zu ihrer Sicherung bestellten Grundpfandrechte zu übernehmen.</w:t>
      </w:r>
    </w:p>
    <w:p>
      <w:pPr>
        <w:pStyle w:val="ListeEinzug1Ebene"/>
      </w:pPr>
      <w:r>
        <w:t xml:space="preserve">Im Streitfall wird der Erstattungsbetrag von einem von der zuständigen Industrie- und Handelskammer zu bestellenden Schiedsgutachter bestimmt, dessen Kosten die Parteien je hälftig tragen.</w:t>
      </w:r>
    </w:p>
    <w:p>
      <w:pPr>
        <w:pStyle w:val="ListeEinzug1Ebene"/>
      </w:pPr>
      <w:r>
        <w:t xml:space="preserve">Im Übrigen werden alle wechselseitigen Ansprüche aus gezogenen Nutzungen, erbrachten Leistungen oder gemachten Aufwendungen ausdrücklich ausgeschlossen.</w:t>
      </w:r>
    </w:p>
    <w:p>
      <w:pPr>
        <w:pStyle w:val="ListeManuell1Ebene"/>
      </w:pPr>
      <w:r>
        <w:t xml:space="preserve">8.	Der Besitz, die Nutzungen, die Lasten und die Gefahr gehen zu dem Zeitpunkt auf den Rückforderungsberechtigten über, an dem er sein Rückforderungsrecht schriftlich ausgeübt hat.</w:t>
      </w:r>
    </w:p>
    <w:p>
      <w:pPr>
        <w:pStyle w:val="ListeManuell1Ebene"/>
      </w:pPr>
      <w:r>
        <w:t xml:space="preserve">9.	Die mit der Rückübertragung verbundenen Kosten und Steuern hat der Rückforderungsberechtigte zu tragen.</w:t>
      </w:r>
    </w:p>
    <w:p>
      <w:pPr>
        <w:pStyle w:val="ListeManuell1Ebene"/>
      </w:pPr>
      <w:r>
        <w:t xml:space="preserve">10.	Mit Vollzug der Rückübertragung entfällt der mit dem Erwerber in dieser Urkunde vereinbarte Pflichtteilsverzicht; der Pflichtteilsverzicht ist insoweit auflösend bedingt.</w:t>
      </w:r>
    </w:p>
    <w:p>
      <w:pPr>
        <w:pStyle w:val="ListeManuell1Ebene"/>
      </w:pPr>
      <w:r>
        <w:t xml:space="preserve">11.	Zur Sicherung des aufschiebend bedingten Anspruchs des Veräußerers auf Rückübereignung bewilligen und beantragen die Vertragsbeteiligten die Eintragung einer Auflassungsvormerkung zugunsten des Veräußerers – befristet auf dessen Lebenszeit – auf dem gesamten in dieser Urkunde übertragenen Grundbesitz, jedoch mit Ausnahme der Grundstücke Flur 3 Nr. 6 und Flur 4 Nr. 7.</w:t>
      </w:r>
    </w:p>
    <w:p>
      <w:pPr>
        <w:pStyle w:val="ListeEinzug1Ebene"/>
      </w:pPr>
      <w:r>
        <w:t xml:space="preserve">Die Auflassungsvormerkung soll im Grundbuch Rang erhalten nach den Belastungen, die der Erwerber in dieser Urkunde übernommen hat, sowie nach den übrigen zugunsten des Veräußerers in dieser Urkunde bewilligten Rechten.</w:t>
      </w:r>
    </w:p>
    <w:sectPr w:rsidRPr="003676A2" w:rsidR="003676A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58390D"/>
    <w:multiLevelType w:val="hybridMultilevel"/>
    <w:tmpl w:val="E65ACFA2"/>
    <w:lvl w:ilvl="0" w:tplc="2D48A4E6">
      <w:start w:val="1"/>
      <w:numFmt w:val="bullet"/>
      <w:pStyle w:val="ListeBullet1Ebene"/>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7D34AB9"/>
    <w:multiLevelType w:val="hybridMultilevel"/>
    <w:tmpl w:val="A9A0D866"/>
    <w:lvl w:ilvl="0" w:tplc="E8B6371C">
      <w:start w:val="1"/>
      <w:numFmt w:val="bullet"/>
      <w:pStyle w:val="ListeBullet2Ebene"/>
      <w:lvlText w:val="–"/>
      <w:lvlJc w:val="left"/>
      <w:pPr>
        <w:ind w:left="1145" w:hanging="360"/>
      </w:pPr>
      <w:rPr>
        <w:rFonts w:ascii="Calibri" w:hAnsi="Calibri" w:hint="default"/>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num w:numId="1" w16cid:durableId="1393893836">
    <w:abstractNumId w:val="0"/>
  </w:num>
  <w:num w:numId="2" w16cid:durableId="15641780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rsids>
    <w:rsidRoot w:val="00CD4C97"/>
    <w:rsid w:val="003676A2"/>
    <w:rsid w:val="0065791E"/>
    <w:rsid w:val="006B3E5A"/>
    <w:rsid w:val="00B612B9"/>
    <w:rsid w:val="00B82ABC"/>
    <w:rsid w:val="00CD4C9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5CD72"/>
  <w15:chartTrackingRefBased/>
  <w15:docId w15:val="{30E4BE38-8D6A-4FF7-9F35-C177179FE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paragraph" w:styleId="Textabsatz" w:customStyle="1">
    <w:name w:val="Textabsatz"/>
    <w:basedOn w:val="Standard"/>
    <w:qFormat/>
    <w:rsid w:val="00B82ABC"/>
    <w:pPr>
      <w:spacing w:line="300" w:lineRule="auto"/>
    </w:pPr>
    <w:rPr>
      <w:rFonts w:ascii="Times New Roman" w:hAnsi="Times New Roman"/>
      <w:sz w:val="24"/>
    </w:rPr>
  </w:style>
  <w:style w:type="paragraph" w:styleId="Zwischenueberschrift" w:customStyle="1">
    <w:name w:val="Zwischenueberschrift"/>
    <w:basedOn w:val="Textabsatz"/>
    <w:qFormat/>
    <w:rsid w:val="003676A2"/>
    <w:pPr>
      <w:spacing w:before="160"/>
    </w:pPr>
    <w:rPr>
      <w:b/>
    </w:rPr>
  </w:style>
  <w:style w:type="paragraph" w:styleId="Tabellentext" w:customStyle="1">
    <w:name w:val="Tabellentext"/>
    <w:basedOn w:val="Textabsatz"/>
    <w:qFormat/>
    <w:rsid w:val="00CD4C97"/>
  </w:style>
  <w:style w:type="paragraph" w:styleId="ListeBullet1Ebene" w:customStyle="1">
    <w:name w:val="Liste Bullet 1. Ebene"/>
    <w:basedOn w:val="Textabsatz"/>
    <w:qFormat/>
    <w:rsid w:val="003676A2"/>
    <w:pPr>
      <w:numPr>
        <w:numId w:val="1"/>
      </w:numPr>
      <w:ind w:left="425" w:hanging="425"/>
    </w:pPr>
  </w:style>
  <w:style w:type="paragraph" w:styleId="ListeBullet2Ebene" w:customStyle="1">
    <w:name w:val="Liste Bullet 2. Ebene"/>
    <w:basedOn w:val="ListeBullet1Ebene"/>
    <w:qFormat/>
    <w:rsid w:val="00B82ABC"/>
    <w:pPr>
      <w:numPr>
        <w:numId w:val="2"/>
      </w:numPr>
      <w:ind w:left="850" w:hanging="425"/>
    </w:pPr>
  </w:style>
  <w:style w:type="paragraph" w:styleId="ListeManuell1Ebene" w:customStyle="1">
    <w:name w:val="Liste Manuell 1. Ebene"/>
    <w:basedOn w:val="Textabsatz"/>
    <w:qFormat/>
    <w:rsid w:val="003676A2"/>
    <w:pPr>
      <w:ind w:left="425" w:hanging="425"/>
    </w:pPr>
  </w:style>
  <w:style w:type="paragraph" w:styleId="ListeManuell2Ebene" w:customStyle="1">
    <w:name w:val="Liste Manuell 2. Ebene"/>
    <w:basedOn w:val="ListeManuell1Ebene"/>
    <w:qFormat/>
    <w:rsid w:val="003676A2"/>
    <w:pPr>
      <w:ind w:left="850"/>
    </w:pPr>
  </w:style>
  <w:style w:type="paragraph" w:styleId="ListeEinzug1Ebene" w:customStyle="1">
    <w:name w:val="Liste Einzug 1. Ebene"/>
    <w:basedOn w:val="Textabsatz"/>
    <w:qFormat/>
    <w:rsid w:val="003676A2"/>
    <w:pPr>
      <w:ind w:left="425"/>
    </w:pPr>
  </w:style>
  <w:style w:type="paragraph" w:styleId="ListeEinzug2Ebene" w:customStyle="1">
    <w:name w:val="Liste Einzug 2. Ebene"/>
    <w:basedOn w:val="ListeEinzug1Ebene"/>
    <w:qFormat/>
    <w:rsid w:val="003676A2"/>
    <w:pPr>
      <w:ind w:left="851"/>
    </w:pPr>
  </w:style>
  <w:style w:type="paragraph" w:styleId="Listenabsatz">
    <w:name w:val="List Paragraph"/>
    <w:basedOn w:val="Standard"/>
    <w:uiPriority w:val="34"/>
    <w:qFormat/>
    <w:rsid w:val="003676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Schmitz</dc:creator>
  <cp:keywords/>
  <dc:description/>
  <cp:lastModifiedBy>Simon Schmitz</cp:lastModifiedBy>
  <cp:revision>4</cp:revision>
  <dcterms:created xsi:type="dcterms:W3CDTF">2023-07-27T19:23:00Z</dcterms:created>
  <dcterms:modified xsi:type="dcterms:W3CDTF">2023-07-27T19:56:00Z</dcterms:modified>
</cp:coreProperties>
</file>