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E ist als Hoferbe seines am </w:t>
      </w:r>
      <w:bookmarkStart w:name="Graufeld62" w:id="0"/>
      <w:r>
        <w:fldChar w:fldCharType="begin"/>
      </w:r>
      <w:r>
        <w:instrText xml:space="preserve"> FORMTEXT </w:instrText>
      </w:r>
      <w:r>
        <w:fldChar w:fldCharType="separate"/>
      </w:r>
      <w:r>
        <w:t xml:space="preserve">     </w:t>
      </w:r>
      <w:r>
        <w:fldChar w:fldCharType="end"/>
      </w:r>
      <w:bookmarkEnd w:id="0"/>
      <w:r>
        <w:t xml:space="preserve"> verstorbenen Vaters V Eigentümer des Lindenhofes in A. geworden. Es handelt sich um einen Hof im Sinne der HöfeO, eingetragen im Grundbuch von C. in Blatt 300. Der Bruder des E., B., verzichtet hiermit auf seine Abfindungsansprüche nach § 12 HöfeO. E. nimmt diesen Verzicht an. Der Verzicht erstreckt sich nicht auf Nachabfindungsansprüche nach § 13 HöfeO.</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