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E ist Eigentümer eines Hofes im Sinne der HöfeO. Der Hof ist eingetragen in den Grundbüchern des Amtsgerichts A von C Blatt 100 und Blatt 205.</w:t>
      </w:r>
    </w:p>
    <w:p>
      <w:pPr>
        <w:pStyle w:val="Textabsatz"/>
      </w:pPr>
      <w:r>
        <w:t xml:space="preserve">Der Sohn des E, Herr S, verzichtet hiermit gegenüber seinem Vater E – gegenständlich beschränkt auf den vorgenannten Hof – auf sein gesetzliches Erbrecht und auf sein gesetzliches Pflichtteilsrecht. Der Verzicht soll sich auch auf die Abkömmlinge des Verzichtenden erstrecken.</w:t>
      </w:r>
    </w:p>
    <w:p>
      <w:pPr>
        <w:pStyle w:val="Textabsatz"/>
      </w:pPr>
      <w:r>
        <w:t xml:space="preserve">Der Verzicht erfolgt unentgeltlich. Er steht unter keiner Bedingung.</w:t>
      </w:r>
    </w:p>
    <w:p>
      <w:pPr>
        <w:pStyle w:val="Textabsatz"/>
      </w:pPr>
      <w:r>
        <w:t xml:space="preserve">E nimmt den Verzicht an.</w:t>
      </w:r>
    </w:p>
    <w:p>
      <w:pPr>
        <w:pStyle w:val="Textabsatz"/>
      </w:pPr>
      <w:r>
        <w:t xml:space="preserve">Der Notar hat über die Bedeutung und die Rechtsfolgen dieses Verzichts belehrt. Er hat insbesondere darauf hingewiesen,</w:t>
      </w:r>
    </w:p>
    <w:p>
      <w:pPr>
        <w:pStyle w:val="ListeBullet1Ebene"/>
      </w:pPr>
      <w:r>
        <w:t xml:space="preserve">dass infolge des Verzichts dem S und seinen Abkömmlingen hinsichtlich des Hofes weder Abfindungsansprüche nach § 12 Höfe noch Nachabfindungsansprüche nach § 13 Höfe noch diesbezügliche Pflichtteilsansprüche zustehen,</w:t>
      </w:r>
    </w:p>
    <w:p>
      <w:pPr>
        <w:pStyle w:val="ListeBullet1Ebene"/>
      </w:pPr>
      <w:r>
        <w:t xml:space="preserve">dass das gesetzliche Erbrecht und das gesetzliche Pflichtteilsrecht hinsichtlich des hoffreien Vermögens des E durch den Verzicht nicht berührt werden.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