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Der Erwerber hat den Wert der heutigen Zuwendung gegenüber den übrigen Abkömmlingen des Übergebers bei gesetzlicher Erbfolge oder bei Erbfolge nach § 2052 BGB nach den §§ 2050 ff. BGB auszugleichen.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