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Die Schwester des Übernehmers, Frau S, erhält keine Abfindung, sie soll lediglich ihren Pflichtteil erhalten. Sämtliche weitergehenden Abfindungs- und Nachabfindungsansprüche der Frau S nach den §§ 12, 13 HöfeO werden ausdrücklich ausgeschlossen.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