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Übernehmer verpflichtet sich, als (ggf. weitere) Gegenleistung für die Übertragung des Hofanwesens an seine Schwester, Frau S, eine Abfindung in Höhe von 50.000 EUR (in Worten: fünfzigtausend EUR) zu zahlen. Der Abfindungsberechtigten steht das Recht zu, die Zahlung unmittelbar an sich zu fordern.</w:t>
      </w:r>
    </w:p>
    <w:p>
      <w:pPr>
        <w:pStyle w:val="ListeManuell1Ebene"/>
      </w:pPr>
      <w:r>
        <w:t xml:space="preserve">2.	Die Abfindung ist fällig binnen vier Wochen nach Beurkundung dieses Vertrages.</w:t>
      </w:r>
    </w:p>
    <w:p>
      <w:pPr>
        <w:pStyle w:val="ListeManuell1Ebene"/>
      </w:pPr>
      <w:r>
        <w:t xml:space="preserve">3.	Der Übernehmer unterwirft sich wegen des vorstehend vereinbarten Abfindungsbetrages gegenüber seiner Schwester, Frau S, der sofortigen Zwangsvollstreckung aus dieser Urkunde in sein gesamtes Vermögen. Der Abfindungsberechtigten kann ohne weitere Nachweise vollstreckbare Ausfertigung dieser Urkunde erteilt werden.</w:t>
      </w:r>
    </w:p>
    <w:p>
      <w:pPr>
        <w:pStyle w:val="ListeManuell1Ebene"/>
      </w:pPr>
      <w:r>
        <w:t xml:space="preserve">4.	Auf eine Absicherung der vorstehenden Zahlungspflicht, etwa durch Eintragung eines Grundpfandrechts im Grundbuch oder durch Stellung einer Bankbürgschaft, wird nach Belehrung verzichtet.</w:t>
      </w:r>
    </w:p>
    <w:p>
      <w:pPr>
        <w:pStyle w:val="ListeManuell1Ebene"/>
      </w:pPr>
      <w:r>
        <w:t xml:space="preserve">5.	Die Schwester des Übernehmers, Frau S, soll über die vorstehende Zahlung hinaus keine weitere Abfindung erhalten. Sämtliche weitergehenden Abfindungs- und Nachabfindungsansprüche der Frau S nach den §§ 12, 13 HöfeO werden ausdrücklich ausgeschlossen. Sie ist insofern auf den Pflichtteil gesetzt, wobei sie sich den Wert der vorgenannten Abfindungszahlung auf ihren Pflichtteil am Nachlass des Übergebers anrechnen zu lassen hat. Die Beteiligten weisen den beurkundenden Notar an, der Tochter des Übergebers, Frau S, diese Anrechnungsbestimmung unverzüglich durch Übersendung einer Abschrift dieses Vertrages per Einwurf-Einschreiben anzuzeigen.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