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Hinsichtlich etwaiger Nachabfindungsansprüche nach § 13 HöfeO treffen der Übergeber, der Übernehmer sowie die miterschienenen weiteren Kinder (weichende Erben) des Übergebers folgende Vereinbarungen:</w:t>
      </w:r>
    </w:p>
    <w:p>
      <w:pPr>
        <w:pStyle w:val="Textabsatz"/>
      </w:pPr>
      <w:r>
        <w:t xml:space="preserve">Die von den weichenden Erben in diesem Hofübergabevertrag erklärten Verzichte erstrecken sich nicht auf Nachabfindungsansprüche nach § 13 HöfeO. Nachabfindungsansprüche gemäß § 13 HöfeO bleiben vielmehr bestehen, allerdings mit folgenden hiermit vereinbarten Einschränkungen:</w:t>
      </w:r>
    </w:p>
    <w:p>
      <w:pPr>
        <w:pStyle w:val="ListeBullet1Ebene"/>
      </w:pPr>
      <w:r>
        <w:t xml:space="preserve">An die Stelle der in § 13 HöfeO jeweils genannten Frist von 20 Jahren tritt eine Frist von lediglich 15 Jahren.</w:t>
      </w:r>
    </w:p>
    <w:p>
      <w:pPr>
        <w:pStyle w:val="ListeBullet1Ebene"/>
      </w:pPr>
      <w:r>
        <w:t xml:space="preserve">Die in diesem Hofübergabevertrag übertragenen Grundstücke Flur 5 Nr. 16 und Flur 6 Nr. 12 sind nicht Gegenstand von Nachabfindungsansprüchen. Diese Grundstücke können daher veräußert oder in sonstiger Weise verwertet werden, ohne dass hierdurch Nachabfindungsansprüche entstehen.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