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3C7DD" w14:textId="77777777" w:rsidR="00C5737A" w:rsidRDefault="0068603F">
      <w:pPr>
        <w:pStyle w:val="ListeManuell1Ebene"/>
      </w:pPr>
      <w:r>
        <w:t>1.</w:t>
      </w:r>
      <w:r>
        <w:tab/>
        <w:t>Die von den weichenden Erben in diesem Hofübergabevertrag erklärten Verzichte erstrecken sich nicht auf Nachabfindungsansprüche nach § 13 HöfeO. Nachabfindungsansprüche gemäß § 13 HöfeO bleiben vielmehr bestehen, allerdings mit folgenden hiermit vereinbarten Abweichungen:</w:t>
      </w:r>
    </w:p>
    <w:p w14:paraId="76C74FC9" w14:textId="77777777" w:rsidR="00C5737A" w:rsidRDefault="0068603F">
      <w:pPr>
        <w:pStyle w:val="ListeManuell2Ebene"/>
      </w:pPr>
      <w:r>
        <w:t>a)</w:t>
      </w:r>
      <w:r>
        <w:tab/>
        <w:t xml:space="preserve">Sollte der Übernehmer innerhalb von 20 Jahren, beginnend mit dem heutigen Tag, den Hof oder zum Hof gehörende Grundstücke veräußern oder sonstige Verwertungsmaßnahmen im Sinne von § 13 Abs. 4 HöfeO durchführen, so erhalten die weichenden Erben, diese untereinander zu gleichen Anteilen, lediglich </w:t>
      </w:r>
      <w:bookmarkStart w:id="0" w:name="Graufeld76"/>
      <w:r>
        <w:fldChar w:fldCharType="begin"/>
      </w:r>
      <w:r>
        <w:instrText xml:space="preserve"> FORMTEXT </w:instrText>
      </w:r>
      <w:r>
        <w:fldChar w:fldCharType="separate"/>
      </w:r>
      <w:r>
        <w:t>     </w:t>
      </w:r>
      <w:r>
        <w:fldChar w:fldCharType="end"/>
      </w:r>
      <w:bookmarkEnd w:id="0"/>
      <w:r>
        <w:t xml:space="preserve"> Prozent des Nettoerlöses nach Abzug sämtlicher Veräußerungskosten und Steuern. Hinsichtlich des restlichen Erlöses verzichten die weichenden Erben auf Nachabfindungsansprüche gemäß § 13 HöfeO, sofern und soweit der Übernehmer die Erlöse aus einer Veräußerung oder einer sonstigen Verwertungsmaßnahme im Sinne des § 13 Abs. 4 HöfeO innerhalb der steuerlichen Re-Investitionsfristen in beliebige Wirtschaftsgüter des landwirtschaftlichen Betriebes reinvestiert. Es ist nicht erforderlich, dass in ein gleiches Wir</w:t>
      </w:r>
      <w:r>
        <w:t>tschaftsgut investiert wird.</w:t>
      </w:r>
    </w:p>
    <w:p w14:paraId="574CBE71" w14:textId="77777777" w:rsidR="00C5737A" w:rsidRDefault="0068603F">
      <w:pPr>
        <w:pStyle w:val="ListeManuell2Ebene"/>
      </w:pPr>
      <w:r>
        <w:t>b)</w:t>
      </w:r>
      <w:r>
        <w:tab/>
        <w:t>Bei Grundstücksveräußerungen und Erwerb von Ersatzland ist es nicht erforderlich, dass ein gleichwertiger Ersatzerwerb im Sinne des § 13 Abs. 2 HöfeO erfolgt. Es kann also auch eine höherwertige oder größere Ersatzlandfläche erworben werden. Die Begrenzung der anrechnungsfähigen Re-Investition „bis zur Höhe der für einen gleichwertigen Ersatzerwerb angemessenen Aufwendungen“ im Sinne des § 13 Abs. 2 S. 1 HöfeO wird ausgeschlossen.</w:t>
      </w:r>
    </w:p>
    <w:p w14:paraId="3632C899" w14:textId="77777777" w:rsidR="00C5737A" w:rsidRDefault="0068603F">
      <w:pPr>
        <w:pStyle w:val="ListeManuell2Ebene"/>
      </w:pPr>
      <w:r>
        <w:t>c)</w:t>
      </w:r>
      <w:r>
        <w:tab/>
        <w:t>Eine Nachabfindung wird in folgenden Fällen ausgeschlossen:</w:t>
      </w:r>
    </w:p>
    <w:p w14:paraId="55465D5D" w14:textId="77777777" w:rsidR="00C5737A" w:rsidRPr="0068603F" w:rsidRDefault="0068603F" w:rsidP="0068603F">
      <w:pPr>
        <w:pStyle w:val="ListeManuell3Ebene"/>
        <w:ind w:left="850"/>
        <w:rPr>
          <w:rFonts w:ascii="Times New Roman" w:hAnsi="Times New Roman"/>
          <w:sz w:val="24"/>
        </w:rPr>
      </w:pPr>
      <w:r w:rsidRPr="0068603F">
        <w:rPr>
          <w:rFonts w:ascii="Times New Roman" w:hAnsi="Times New Roman"/>
          <w:sz w:val="24"/>
        </w:rPr>
        <w:t>aa)</w:t>
      </w:r>
      <w:r w:rsidRPr="0068603F">
        <w:rPr>
          <w:rFonts w:ascii="Times New Roman" w:hAnsi="Times New Roman"/>
          <w:sz w:val="24"/>
        </w:rPr>
        <w:tab/>
        <w:t>wenn Gewinne aus landwirtschaftsfremder Nutzung des Hofvermögens, die gemäß § 13 HöfeO nachabfindungspflichtig wären, in Hofvermögen reinvestiert werden;</w:t>
      </w:r>
    </w:p>
    <w:p w14:paraId="07789314" w14:textId="77777777" w:rsidR="00C5737A" w:rsidRPr="0068603F" w:rsidRDefault="0068603F" w:rsidP="0068603F">
      <w:pPr>
        <w:pStyle w:val="ListeManuell3Ebene"/>
        <w:ind w:left="850"/>
        <w:rPr>
          <w:rFonts w:ascii="Times New Roman" w:hAnsi="Times New Roman"/>
          <w:sz w:val="24"/>
        </w:rPr>
      </w:pPr>
      <w:r w:rsidRPr="0068603F">
        <w:rPr>
          <w:rFonts w:ascii="Times New Roman" w:hAnsi="Times New Roman"/>
          <w:sz w:val="24"/>
        </w:rPr>
        <w:t>bb)</w:t>
      </w:r>
      <w:r w:rsidRPr="0068603F">
        <w:rPr>
          <w:rFonts w:ascii="Times New Roman" w:hAnsi="Times New Roman"/>
          <w:sz w:val="24"/>
        </w:rPr>
        <w:tab/>
        <w:t>wenn auf hofzugehörigen Grundstücken Photovoltaikanlagen errichtet oder im Rahmen des Betriebs von Photovoltaikanlagen Einkünfte erzielt werden;</w:t>
      </w:r>
    </w:p>
    <w:p w14:paraId="37AF1506" w14:textId="77777777" w:rsidR="00C5737A" w:rsidRPr="0068603F" w:rsidRDefault="0068603F" w:rsidP="0068603F">
      <w:pPr>
        <w:pStyle w:val="ListeManuell3Ebene"/>
        <w:ind w:left="850"/>
        <w:rPr>
          <w:rFonts w:ascii="Times New Roman" w:hAnsi="Times New Roman"/>
          <w:sz w:val="24"/>
        </w:rPr>
      </w:pPr>
      <w:r w:rsidRPr="0068603F">
        <w:rPr>
          <w:rFonts w:ascii="Times New Roman" w:hAnsi="Times New Roman"/>
          <w:sz w:val="24"/>
        </w:rPr>
        <w:t>cc)</w:t>
      </w:r>
      <w:r w:rsidRPr="0068603F">
        <w:rPr>
          <w:rFonts w:ascii="Times New Roman" w:hAnsi="Times New Roman"/>
          <w:sz w:val="24"/>
        </w:rPr>
        <w:tab/>
        <w:t>wenn durch die Überlassung hofzugehöriger Grundstücke im Rahmen der Nutzung für Windenergie Einkünfte erzielt werden;</w:t>
      </w:r>
    </w:p>
    <w:p w14:paraId="52C647D8" w14:textId="77777777" w:rsidR="00C5737A" w:rsidRPr="0068603F" w:rsidRDefault="0068603F" w:rsidP="0068603F">
      <w:pPr>
        <w:pStyle w:val="ListeManuell3Ebene"/>
        <w:ind w:left="850"/>
        <w:rPr>
          <w:rFonts w:ascii="Times New Roman" w:hAnsi="Times New Roman"/>
          <w:sz w:val="24"/>
        </w:rPr>
      </w:pPr>
      <w:r w:rsidRPr="0068603F">
        <w:rPr>
          <w:rFonts w:ascii="Times New Roman" w:hAnsi="Times New Roman"/>
          <w:sz w:val="24"/>
        </w:rPr>
        <w:t>dd)</w:t>
      </w:r>
      <w:r w:rsidRPr="0068603F">
        <w:rPr>
          <w:rFonts w:ascii="Times New Roman" w:hAnsi="Times New Roman"/>
          <w:sz w:val="24"/>
        </w:rPr>
        <w:tab/>
        <w:t>wenn auf hofzugehörigen Grundstücken Biogasanlagen betrieben werden.</w:t>
      </w:r>
    </w:p>
    <w:p w14:paraId="1BBEF9F2" w14:textId="77777777" w:rsidR="00C5737A" w:rsidRDefault="0068603F">
      <w:pPr>
        <w:pStyle w:val="ListeManuell1Ebene"/>
      </w:pPr>
      <w:r>
        <w:t>2.</w:t>
      </w:r>
      <w:r>
        <w:tab/>
        <w:t>Die zwanzigjährige Nachabfindungsfrist des § 13 HöfeO beginnt mit dem heutigen Tag, was die Vertragsbeteiligten hiermit ausdrücklich vereinbaren.</w:t>
      </w:r>
    </w:p>
    <w:sectPr w:rsidR="00C5737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58390D"/>
    <w:multiLevelType w:val="hybridMultilevel"/>
    <w:tmpl w:val="E65ACFA2"/>
    <w:lvl w:ilvl="0" w:tplc="2D48A4E6">
      <w:start w:val="1"/>
      <w:numFmt w:val="bullet"/>
      <w:pStyle w:val="ListeBullet1Eben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34AB9"/>
    <w:multiLevelType w:val="hybridMultilevel"/>
    <w:tmpl w:val="A9A0D866"/>
    <w:lvl w:ilvl="0" w:tplc="E8B6371C">
      <w:start w:val="1"/>
      <w:numFmt w:val="bullet"/>
      <w:pStyle w:val="ListeBullet2Ebene"/>
      <w:lvlText w:val="–"/>
      <w:lvlJc w:val="left"/>
      <w:pPr>
        <w:ind w:left="1145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393893836">
    <w:abstractNumId w:val="0"/>
  </w:num>
  <w:num w:numId="2" w16cid:durableId="1564178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4C97"/>
    <w:rsid w:val="003676A2"/>
    <w:rsid w:val="005A1AB3"/>
    <w:rsid w:val="0065791E"/>
    <w:rsid w:val="0068603F"/>
    <w:rsid w:val="006B3E5A"/>
    <w:rsid w:val="00B612B9"/>
    <w:rsid w:val="00B82ABC"/>
    <w:rsid w:val="00C5737A"/>
    <w:rsid w:val="00CD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1A211"/>
  <w15:chartTrackingRefBased/>
  <w15:docId w15:val="{30E4BE38-8D6A-4FF7-9F35-C177179F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absatz">
    <w:name w:val="Textabsatz"/>
    <w:basedOn w:val="Standard"/>
    <w:qFormat/>
    <w:rsid w:val="00B82ABC"/>
    <w:pPr>
      <w:spacing w:line="300" w:lineRule="auto"/>
    </w:pPr>
    <w:rPr>
      <w:rFonts w:ascii="Times New Roman" w:hAnsi="Times New Roman"/>
      <w:sz w:val="24"/>
    </w:rPr>
  </w:style>
  <w:style w:type="paragraph" w:customStyle="1" w:styleId="Zwischenueberschrift">
    <w:name w:val="Zwischenueberschrift"/>
    <w:basedOn w:val="Textabsatz"/>
    <w:qFormat/>
    <w:rsid w:val="003676A2"/>
    <w:pPr>
      <w:spacing w:before="160"/>
    </w:pPr>
    <w:rPr>
      <w:b/>
    </w:rPr>
  </w:style>
  <w:style w:type="paragraph" w:customStyle="1" w:styleId="Tabellentext">
    <w:name w:val="Tabellentext"/>
    <w:basedOn w:val="Textabsatz"/>
    <w:qFormat/>
    <w:rsid w:val="00CD4C97"/>
  </w:style>
  <w:style w:type="paragraph" w:customStyle="1" w:styleId="ListeBullet1Ebene">
    <w:name w:val="Liste Bullet 1. Ebene"/>
    <w:basedOn w:val="Textabsatz"/>
    <w:qFormat/>
    <w:rsid w:val="003676A2"/>
    <w:pPr>
      <w:numPr>
        <w:numId w:val="1"/>
      </w:numPr>
      <w:ind w:left="425" w:hanging="425"/>
    </w:pPr>
  </w:style>
  <w:style w:type="paragraph" w:customStyle="1" w:styleId="ListeBullet2Ebene">
    <w:name w:val="Liste Bullet 2. Ebene"/>
    <w:basedOn w:val="ListeBullet1Ebene"/>
    <w:qFormat/>
    <w:rsid w:val="00B82ABC"/>
    <w:pPr>
      <w:numPr>
        <w:numId w:val="2"/>
      </w:numPr>
      <w:ind w:left="850" w:hanging="425"/>
    </w:pPr>
  </w:style>
  <w:style w:type="paragraph" w:customStyle="1" w:styleId="ListeManuell1Ebene">
    <w:name w:val="Liste Manuell 1. Ebene"/>
    <w:basedOn w:val="Textabsatz"/>
    <w:qFormat/>
    <w:rsid w:val="003676A2"/>
    <w:pPr>
      <w:ind w:left="425" w:hanging="425"/>
    </w:pPr>
  </w:style>
  <w:style w:type="paragraph" w:customStyle="1" w:styleId="ListeManuell2Ebene">
    <w:name w:val="Liste Manuell 2. Ebene"/>
    <w:basedOn w:val="ListeManuell1Ebene"/>
    <w:qFormat/>
    <w:rsid w:val="003676A2"/>
    <w:pPr>
      <w:ind w:left="850"/>
    </w:pPr>
  </w:style>
  <w:style w:type="paragraph" w:customStyle="1" w:styleId="ListeEinzug1Ebene">
    <w:name w:val="Liste Einzug 1. Ebene"/>
    <w:basedOn w:val="Textabsatz"/>
    <w:qFormat/>
    <w:rsid w:val="003676A2"/>
    <w:pPr>
      <w:ind w:left="425"/>
    </w:pPr>
  </w:style>
  <w:style w:type="paragraph" w:customStyle="1" w:styleId="ListeEinzug2Ebene">
    <w:name w:val="Liste Einzug 2. Ebene"/>
    <w:basedOn w:val="ListeEinzug1Ebene"/>
    <w:qFormat/>
    <w:rsid w:val="003676A2"/>
    <w:pPr>
      <w:ind w:left="851"/>
    </w:pPr>
  </w:style>
  <w:style w:type="paragraph" w:styleId="Listenabsatz">
    <w:name w:val="List Paragraph"/>
    <w:basedOn w:val="Standard"/>
    <w:uiPriority w:val="34"/>
    <w:qFormat/>
    <w:rsid w:val="003676A2"/>
    <w:pPr>
      <w:ind w:left="720"/>
      <w:contextualSpacing/>
    </w:pPr>
  </w:style>
  <w:style w:type="paragraph" w:customStyle="1" w:styleId="ListeManuell3Ebene">
    <w:name w:val="Liste Manuell 3. Eben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313</Words>
  <Characters>1974</Characters>
  <Application>Microsoft Office Word</Application>
  <DocSecurity>0</DocSecurity>
  <Lines>16</Lines>
  <Paragraphs>4</Paragraphs>
  <ScaleCrop>false</ScaleCrop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Schmitz</dc:creator>
  <cp:keywords/>
  <dc:description/>
  <cp:lastModifiedBy>Patricia Runkel</cp:lastModifiedBy>
  <cp:revision>5</cp:revision>
  <dcterms:created xsi:type="dcterms:W3CDTF">2023-07-27T19:23:00Z</dcterms:created>
  <dcterms:modified xsi:type="dcterms:W3CDTF">2026-03-25T07:42:00Z</dcterms:modified>
</cp:coreProperties>
</file>