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Falls der in dieser Urkunde übertragene Grundbesitz innerhalb einer Frist von 15 Jahren, von heute an gerechnet, von dem Übernehmer oder seinen Erben ganz oder teilweise veräußert werden sollte, ist der Übernehmer verpflichtet, seinen zu </w:t>
      </w:r>
      <w:bookmarkStart w:name="Graufeld77" w:id="0"/>
      <w:r>
        <w:fldChar w:fldCharType="begin"/>
      </w:r>
      <w:r>
        <w:instrText xml:space="preserve"> FORMTEXT </w:instrText>
      </w:r>
      <w:r>
        <w:fldChar w:fldCharType="separate"/>
      </w:r>
      <w:r>
        <w:t xml:space="preserve">     </w:t>
      </w:r>
      <w:r>
        <w:fldChar w:fldCharType="end"/>
      </w:r>
      <w:bookmarkEnd w:id="0"/>
      <w:r>
        <w:t xml:space="preserve"> erschienenen Geschwistern A, B und C als Nachabfindung jeweils einen Geldbetrag in Höhe von jeweils 25 % des Nettoveräußerungsgewinnes auszubezahlen.</w:t>
      </w:r>
    </w:p>
    <w:p>
      <w:pPr>
        <w:pStyle w:val="ListeManuell1Ebene"/>
      </w:pPr>
      <w:r>
        <w:t xml:space="preserve">2.	Um den Nettoveräußerungsgewinn zu ermitteln sind von dem Verkaufserlös etwaige auf den Veräußerungsgewinn entfallende Steuern, etwaige von dem Übernehmer aufgrund dieses Vertrages erbrachte Gegenleistungen und etwaige werterhöhende Investitionen des Übernehmers in den Grundbesitz abzuziehen. Sollten sich die Beteiligten über den sich hiernach ergebenden Nettoveräußerungsgewinn nicht einigen, ist dieser auf der Grundlage der vorstehenden Formel von einem vereidigten Sachverständigen, der auf Antrag eines Beteiligten von dem Präsidenten der zuständigen Landwirtschaftskammer zu benennen ist, zu ermitteln. Die Kosten des Gutachtens tragen zur Hälfte der Übernehmer und zur anderen Hälfte die Abfindungsberechtigten zu unter sich gleichen Teilen.</w:t>
      </w:r>
    </w:p>
    <w:p>
      <w:pPr>
        <w:pStyle w:val="ListeManuell1Ebene"/>
      </w:pPr>
      <w:r>
        <w:t xml:space="preserve">3.	Wird kein Kaufpreis, sondern eine andere Gegenleistung vereinbart, tritt an die Stelle des Verkaufserlöses der Verkehrswert des veräußerten Grundbesitzes, der im Streitfall von dem vorgenannten Sachverständigen festzusetzen ist. Auf der Grundlage des so festgestellten Verkehrswertes ist sodann entsprechend den vorstehenden Grundsätzen der Nettoveräußerungsgewinn zu ermitteln.</w:t>
      </w:r>
    </w:p>
    <w:p>
      <w:pPr>
        <w:pStyle w:val="ListeManuell1Ebene"/>
      </w:pPr>
      <w:r>
        <w:t xml:space="preserve">4.	Der Nachabfindungsbetrag ist mit Erhalt eines etwaigen Kaufpreises, spätestens binnen sechs Monaten nach Beurkundung des Veräußerungsvertrages, zur Zahlung fällig.</w:t>
      </w:r>
    </w:p>
    <w:p>
      <w:pPr>
        <w:pStyle w:val="ListeManuell1Ebene"/>
      </w:pPr>
      <w:r>
        <w:t xml:space="preserve">5.	Für jedes Jahr, dass nach Beurkundung des heutigen Übergabevertrages verstrichen ist, reduziert sich der an die Abfindungsberechtigten zu zahlende Nachabfindungsbetrag um </w:t>
      </w:r>
      <w:r>
        <w:rPr xmlns:w="http://schemas.openxmlformats.org/wordprocessingml/2006/main">
          <w:vertAlign w:val="superscript"/>
        </w:rPr>
        <w:t xml:space="preserve">1</w:t>
      </w:r>
      <w:r>
        <w:t xml:space="preserve">/</w:t>
      </w:r>
      <w:r>
        <w:rPr xmlns:w="http://schemas.openxmlformats.org/wordprocessingml/2006/main">
          <w:vertAlign w:val="subscript"/>
        </w:rPr>
        <w:t xml:space="preserve">15</w:t>
      </w:r>
      <w:r>
        <w:t xml:space="preserve">, also nach 15 Jahren somit auf Null.</w:t>
      </w:r>
    </w:p>
    <w:p>
      <w:pPr>
        <w:pStyle w:val="ListeManuell1Ebene"/>
      </w:pPr>
      <w:r>
        <w:t xml:space="preserve">6.	Die Verpflichtung zur Zahlung der Nachabfindung besteht nicht:</w:t>
      </w:r>
    </w:p>
    <w:p>
      <w:pPr>
        <w:pStyle w:val="ListeManuell2Ebene"/>
      </w:pPr>
      <w:r>
        <w:t xml:space="preserve">a)	bei einer Veräußerung an Ehegatten oder Abkömmlinge des Übernehmers, sofern diese die hier vereinbarte Nachabfindungsverpflichtung auf deren restliche Laufzeit übernehmen,</w:t>
      </w:r>
    </w:p>
    <w:p>
      <w:pPr>
        <w:pStyle w:val="ListeManuell2Ebene"/>
      </w:pPr>
      <w:r>
        <w:t xml:space="preserve">b)	bei einer Veräußerung von Flächen in einer Gesamtgröße von weniger als </w:t>
      </w:r>
      <w:bookmarkStart w:name="Graufeld78" w:id="1"/>
      <w:r>
        <w:fldChar w:fldCharType="begin"/>
      </w:r>
      <w:r>
        <w:instrText xml:space="preserve"> FORMTEXT </w:instrText>
      </w:r>
      <w:r>
        <w:fldChar w:fldCharType="separate"/>
      </w:r>
      <w:r>
        <w:t xml:space="preserve">     </w:t>
      </w:r>
      <w:r>
        <w:fldChar w:fldCharType="end"/>
      </w:r>
      <w:bookmarkEnd w:id="1"/>
      <w:r>
        <w:t xml:space="preserve"> ha,</w:t>
      </w:r>
    </w:p>
    <w:p>
      <w:pPr>
        <w:pStyle w:val="ListeManuell2Ebene"/>
      </w:pPr>
      <w:r>
        <w:t xml:space="preserve">c)	soweit der Übernehmer den Erlös innerhalb von zwei Jahren ab Veräußerung zum Erwerb von anderen landwirtschaftlichen Ersatzgrundstücken, Vieh oder Maschinen verwendet oder innerhalb von vier Jahren zur Errichtung baulicher oder technischer Anlagen wieder in den Betrieb oder einen Ersatzbetrieb reinvestiert,</w:t>
      </w:r>
    </w:p>
    <w:p>
      <w:pPr>
        <w:pStyle w:val="ListeManuell2Ebene"/>
      </w:pPr>
      <w:r>
        <w:t xml:space="preserve">d)	soweit der Übernehmer den Erlös innerhalb von vier Jahren zur Abfindung weichender Erben verwendet.</w:t>
      </w:r>
    </w:p>
    <w:p>
      <w:pPr>
        <w:pStyle w:val="ListeManuell1Ebene"/>
      </w:pPr>
      <w:r>
        <w:t xml:space="preserve">7.	Bei einem Erwerb von anderen landwirtschaftlichen Ersatzgrundstücken im vorstehenden Sinne gilt die Verpflichtung zur Zahlung einer Nachabfindung auch bei einer Veräußerung der betreffenden Ersatzgrundstücke.</w:t>
      </w:r>
    </w:p>
    <w:p>
      <w:pPr>
        <w:pStyle w:val="ListeManuell1Ebene"/>
      </w:pPr>
      <w:r>
        <w:t xml:space="preserve">8.	Einer Veräußerung steht ein Eigentumsverlust im Rahmen der Zwangsversteigerung gleich.</w:t>
      </w:r>
    </w:p>
    <w:p>
      <w:pPr>
        <w:pStyle w:val="ListeManuell1Ebene"/>
      </w:pPr>
      <w:r>
        <w:t xml:space="preserve">9.	Die Nachabfindungsansprüche sind vererblich, nicht jedoch übertragbar.</w:t>
      </w:r>
    </w:p>
    <w:p>
      <w:pPr>
        <w:pStyle w:val="ListeManuell1Ebene"/>
      </w:pPr>
      <w:r>
        <w:t xml:space="preserve">10.	Zur Sicherung dieser bedingten Nachabfindungspflicht bestellt der Übernehmer hiermit zugunsten seiner Geschwister A, B und C jeweils eine nicht abtretbare, für die Dauer von 15 Jahren ab dem heutigen Tage befristeten Buchgrundschuld über 100.000 EUR auf dem übertragenen Grundstück Gemarkung </w:t>
      </w:r>
      <w:bookmarkStart w:name="Graufeld79" w:id="2"/>
      <w:r>
        <w:fldChar w:fldCharType="begin"/>
      </w:r>
      <w:r>
        <w:instrText xml:space="preserve"> FORMTEXT </w:instrText>
      </w:r>
      <w:r>
        <w:fldChar w:fldCharType="separate"/>
      </w:r>
      <w:r>
        <w:t xml:space="preserve">     </w:t>
      </w:r>
      <w:r>
        <w:fldChar w:fldCharType="end"/>
      </w:r>
      <w:bookmarkEnd w:id="2"/>
      <w:r>
        <w:t xml:space="preserve"> Flur 4 Nr. 15. Die Grundschulden sollen untereinander den gleichen Rang erhalten.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