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Der Notar hat darauf hingewiesen, dass Vertrag zu seiner Wirksamkeit der Genehmigung nach dem Grundstückverkehrsgesetz bedarf. Der Notar soll diese Genehmigung einholen. Sie wird hiermit beantragt.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